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1D624E" w14:textId="749147D1" w:rsidR="00820BC5" w:rsidRDefault="00820BC5" w:rsidP="00820BC5">
      <w:pPr>
        <w:pStyle w:val="CRCoverPage"/>
        <w:tabs>
          <w:tab w:val="right" w:pos="9639"/>
        </w:tabs>
        <w:spacing w:after="0"/>
        <w:rPr>
          <w:rFonts w:cs="Arial"/>
          <w:b/>
          <w:sz w:val="24"/>
          <w:szCs w:val="24"/>
        </w:rPr>
      </w:pPr>
      <w:bookmarkStart w:id="0" w:name="_Hlk491845607"/>
      <w:r>
        <w:rPr>
          <w:rFonts w:cs="Arial"/>
          <w:b/>
          <w:sz w:val="24"/>
          <w:szCs w:val="24"/>
        </w:rPr>
        <w:t>3GPP TSG-RAN WG4 Meeting #</w:t>
      </w:r>
      <w:r w:rsidR="00CD6FE4">
        <w:rPr>
          <w:rFonts w:cs="Arial"/>
          <w:b/>
          <w:sz w:val="24"/>
          <w:szCs w:val="24"/>
        </w:rPr>
        <w:t>112</w:t>
      </w:r>
      <w:r w:rsidR="00D40D22">
        <w:rPr>
          <w:rFonts w:cs="Arial"/>
          <w:b/>
          <w:sz w:val="24"/>
          <w:szCs w:val="24"/>
        </w:rPr>
        <w:t>-bis</w:t>
      </w:r>
      <w:r>
        <w:rPr>
          <w:rFonts w:cs="Arial"/>
          <w:b/>
          <w:sz w:val="24"/>
          <w:szCs w:val="24"/>
        </w:rPr>
        <w:tab/>
      </w:r>
      <w:r w:rsidR="00195FB1" w:rsidRPr="00195FB1">
        <w:rPr>
          <w:rFonts w:cs="Arial"/>
          <w:b/>
          <w:sz w:val="24"/>
          <w:szCs w:val="24"/>
        </w:rPr>
        <w:t>R4-2415568</w:t>
      </w:r>
    </w:p>
    <w:p w14:paraId="22510F7F" w14:textId="12E81784" w:rsidR="00820BC5" w:rsidRPr="0087636F" w:rsidRDefault="00D40D22" w:rsidP="00820BC5">
      <w:pPr>
        <w:pStyle w:val="CRCoverPage"/>
        <w:tabs>
          <w:tab w:val="right" w:pos="9639"/>
        </w:tabs>
        <w:spacing w:after="0"/>
        <w:rPr>
          <w:rFonts w:cs="Arial"/>
          <w:b/>
          <w:sz w:val="24"/>
          <w:szCs w:val="24"/>
        </w:rPr>
      </w:pPr>
      <w:r>
        <w:rPr>
          <w:rFonts w:cs="Arial"/>
          <w:b/>
          <w:sz w:val="24"/>
          <w:szCs w:val="24"/>
        </w:rPr>
        <w:t>Hefei</w:t>
      </w:r>
      <w:r w:rsidR="00820BC5" w:rsidRPr="00690ADD">
        <w:rPr>
          <w:rFonts w:cs="Arial"/>
          <w:b/>
          <w:sz w:val="24"/>
          <w:szCs w:val="24"/>
        </w:rPr>
        <w:t>,</w:t>
      </w:r>
      <w:r w:rsidR="00820BC5">
        <w:rPr>
          <w:rFonts w:cs="Arial"/>
          <w:b/>
          <w:sz w:val="24"/>
          <w:szCs w:val="24"/>
        </w:rPr>
        <w:t xml:space="preserve"> </w:t>
      </w:r>
      <w:r>
        <w:rPr>
          <w:rFonts w:cs="Arial"/>
          <w:b/>
          <w:sz w:val="24"/>
          <w:szCs w:val="24"/>
        </w:rPr>
        <w:t>China</w:t>
      </w:r>
      <w:r w:rsidR="00E97B46">
        <w:rPr>
          <w:rFonts w:cs="Arial"/>
          <w:b/>
          <w:sz w:val="24"/>
          <w:szCs w:val="24"/>
        </w:rPr>
        <w:t>,</w:t>
      </w:r>
      <w:r w:rsidR="00F1354A">
        <w:rPr>
          <w:rFonts w:cs="Arial"/>
          <w:b/>
          <w:sz w:val="24"/>
          <w:szCs w:val="24"/>
        </w:rPr>
        <w:t xml:space="preserve"> </w:t>
      </w:r>
      <w:r>
        <w:rPr>
          <w:rFonts w:cs="Arial"/>
          <w:b/>
          <w:sz w:val="24"/>
          <w:szCs w:val="24"/>
        </w:rPr>
        <w:t>14</w:t>
      </w:r>
      <w:r w:rsidR="00820BC5" w:rsidRPr="006D0B81">
        <w:rPr>
          <w:rFonts w:cs="Arial"/>
          <w:b/>
          <w:sz w:val="24"/>
          <w:szCs w:val="24"/>
          <w:vertAlign w:val="superscript"/>
        </w:rPr>
        <w:t>th</w:t>
      </w:r>
      <w:r w:rsidR="00820BC5">
        <w:rPr>
          <w:rFonts w:cs="Arial"/>
          <w:b/>
          <w:sz w:val="24"/>
          <w:szCs w:val="24"/>
        </w:rPr>
        <w:t xml:space="preserve"> </w:t>
      </w:r>
      <w:r w:rsidR="00820BC5" w:rsidRPr="00690ADD">
        <w:rPr>
          <w:rFonts w:cs="Arial"/>
          <w:b/>
          <w:sz w:val="24"/>
          <w:szCs w:val="24"/>
        </w:rPr>
        <w:t xml:space="preserve">– </w:t>
      </w:r>
      <w:r>
        <w:rPr>
          <w:rFonts w:cs="Arial"/>
          <w:b/>
          <w:sz w:val="24"/>
          <w:szCs w:val="24"/>
        </w:rPr>
        <w:t>18</w:t>
      </w:r>
      <w:r w:rsidR="00F1354A">
        <w:rPr>
          <w:rFonts w:cs="Arial"/>
          <w:b/>
          <w:sz w:val="24"/>
          <w:szCs w:val="24"/>
          <w:vertAlign w:val="superscript"/>
        </w:rPr>
        <w:t>th</w:t>
      </w:r>
      <w:r w:rsidR="00820BC5">
        <w:rPr>
          <w:rFonts w:cs="Arial"/>
          <w:b/>
          <w:sz w:val="24"/>
          <w:szCs w:val="24"/>
        </w:rPr>
        <w:t xml:space="preserve"> </w:t>
      </w:r>
      <w:r>
        <w:rPr>
          <w:rFonts w:cs="Arial"/>
          <w:b/>
          <w:sz w:val="24"/>
          <w:szCs w:val="24"/>
        </w:rPr>
        <w:t>Oct</w:t>
      </w:r>
      <w:r w:rsidR="00CD6FE4">
        <w:rPr>
          <w:rFonts w:cs="Arial"/>
          <w:b/>
          <w:sz w:val="24"/>
          <w:szCs w:val="24"/>
        </w:rPr>
        <w:t>.</w:t>
      </w:r>
      <w:r w:rsidR="00820BC5" w:rsidRPr="00690ADD">
        <w:rPr>
          <w:rFonts w:cs="Arial"/>
          <w:b/>
          <w:sz w:val="24"/>
          <w:szCs w:val="24"/>
        </w:rPr>
        <w:t xml:space="preserve"> 20</w:t>
      </w:r>
      <w:bookmarkEnd w:id="0"/>
      <w:r w:rsidR="00CD6FE4">
        <w:rPr>
          <w:rFonts w:cs="Arial"/>
          <w:b/>
          <w:sz w:val="24"/>
          <w:szCs w:val="24"/>
        </w:rPr>
        <w:t>24</w:t>
      </w:r>
    </w:p>
    <w:p w14:paraId="1ACC47B7" w14:textId="77777777" w:rsidR="0043450E" w:rsidRPr="00426A90" w:rsidRDefault="0043450E" w:rsidP="0043450E">
      <w:pPr>
        <w:overflowPunct/>
        <w:autoSpaceDE/>
        <w:autoSpaceDN/>
        <w:adjustRightInd/>
        <w:textAlignment w:val="auto"/>
        <w:rPr>
          <w:rFonts w:ascii="Arial" w:hAnsi="Arial"/>
          <w:b/>
          <w:noProof/>
          <w:sz w:val="24"/>
        </w:rPr>
      </w:pPr>
    </w:p>
    <w:p w14:paraId="29E80362" w14:textId="270E993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bookmarkStart w:id="1" w:name="_Hlk178252192"/>
      <w:r w:rsidRPr="008849F2">
        <w:rPr>
          <w:sz w:val="22"/>
        </w:rPr>
        <w:t>Nok</w:t>
      </w:r>
      <w:r w:rsidR="00BC764C">
        <w:rPr>
          <w:sz w:val="22"/>
        </w:rPr>
        <w:t>ia</w:t>
      </w:r>
      <w:bookmarkEnd w:id="1"/>
    </w:p>
    <w:p w14:paraId="44D6A084" w14:textId="57967A51"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2" w:name="_Hlk24032798"/>
      <w:r w:rsidR="00CD6FE4">
        <w:rPr>
          <w:sz w:val="22"/>
        </w:rPr>
        <w:t>n28 NS_17 and NS_18 A-MPR simulations</w:t>
      </w:r>
    </w:p>
    <w:bookmarkEnd w:id="2"/>
    <w:p w14:paraId="78D8C097" w14:textId="6DFF2531"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CF40CF">
        <w:rPr>
          <w:b/>
          <w:sz w:val="22"/>
        </w:rPr>
        <w:t>5</w:t>
      </w:r>
      <w:r w:rsidR="00F9660E">
        <w:rPr>
          <w:b/>
          <w:sz w:val="22"/>
        </w:rPr>
        <w:t>.</w:t>
      </w:r>
      <w:r w:rsidR="00CF40CF">
        <w:rPr>
          <w:b/>
          <w:sz w:val="22"/>
        </w:rPr>
        <w:t>20</w:t>
      </w:r>
      <w:r w:rsidR="00F9660E">
        <w:rPr>
          <w:b/>
          <w:sz w:val="22"/>
        </w:rPr>
        <w:t>.</w:t>
      </w:r>
      <w:r w:rsidR="00CF40CF">
        <w:rPr>
          <w:b/>
          <w:sz w:val="22"/>
        </w:rPr>
        <w:t>2</w:t>
      </w:r>
    </w:p>
    <w:p w14:paraId="2E615C7D" w14:textId="5B05ECC5" w:rsidR="0043450E" w:rsidRPr="00F26B60" w:rsidRDefault="0043450E" w:rsidP="0043450E">
      <w:pPr>
        <w:tabs>
          <w:tab w:val="left" w:pos="1985"/>
        </w:tabs>
        <w:jc w:val="both"/>
        <w:rPr>
          <w:caps/>
          <w:sz w:val="22"/>
        </w:rPr>
      </w:pPr>
      <w:r w:rsidRPr="00B16EEF">
        <w:rPr>
          <w:b/>
          <w:sz w:val="22"/>
        </w:rPr>
        <w:t>Document for:</w:t>
      </w:r>
      <w:r w:rsidRPr="00B16EEF">
        <w:rPr>
          <w:sz w:val="22"/>
        </w:rPr>
        <w:tab/>
      </w:r>
      <w:r w:rsidR="00307836">
        <w:rPr>
          <w:sz w:val="22"/>
        </w:rPr>
        <w:t>Information</w:t>
      </w:r>
    </w:p>
    <w:p w14:paraId="6825F628" w14:textId="77777777" w:rsidR="0043450E" w:rsidRDefault="0043450E" w:rsidP="0043450E">
      <w:pPr>
        <w:pStyle w:val="Heading1"/>
      </w:pPr>
      <w:r>
        <w:t>1</w:t>
      </w:r>
      <w:r>
        <w:tab/>
        <w:t>Introduction</w:t>
      </w:r>
    </w:p>
    <w:p w14:paraId="13615911" w14:textId="579D372A" w:rsidR="00DF2E6B" w:rsidRDefault="006F5021" w:rsidP="000B5E8E">
      <w:r>
        <w:t>We simulate the required backoff due to additional spurious emission masks signaled through NS_17 and NS_18. For PC2 we simulate all the available CBWs while for PC3 we only simulate 40 MHz as the A-MPR for lower CBWs has already been specified.</w:t>
      </w:r>
      <w:r w:rsidR="00F61299">
        <w:t xml:space="preserve"> The A-MPR proposals based on these simulations are presented in a separate contribution [1]</w:t>
      </w:r>
      <w:r w:rsidR="00AC56D8">
        <w:t>.</w:t>
      </w:r>
    </w:p>
    <w:p w14:paraId="18A2904F" w14:textId="5180011B" w:rsidR="000A6A9A" w:rsidRDefault="000A6A9A" w:rsidP="000A6A9A">
      <w:pPr>
        <w:pStyle w:val="Heading1"/>
      </w:pPr>
      <w:r>
        <w:t>2</w:t>
      </w:r>
      <w:r>
        <w:tab/>
      </w:r>
      <w:r w:rsidR="00F86DFE">
        <w:t>Simulation assumptions and scenario</w:t>
      </w:r>
    </w:p>
    <w:p w14:paraId="2F86E3D8" w14:textId="38F2BA70" w:rsidR="000A6A9A" w:rsidRDefault="000A6A9A" w:rsidP="000A6A9A">
      <w:pPr>
        <w:pStyle w:val="Heading2"/>
      </w:pPr>
      <w:r>
        <w:t>2.1</w:t>
      </w:r>
      <w:r>
        <w:tab/>
      </w:r>
      <w:r w:rsidR="00F86DFE">
        <w:t>Simulation parameters</w:t>
      </w:r>
    </w:p>
    <w:p w14:paraId="64DF9156" w14:textId="147BBE23" w:rsidR="000A6A9A" w:rsidRDefault="0046387C" w:rsidP="0046387C">
      <w:pPr>
        <w:pStyle w:val="ListParagraph"/>
        <w:numPr>
          <w:ilvl w:val="0"/>
          <w:numId w:val="8"/>
        </w:numPr>
      </w:pPr>
      <w:r>
        <w:t>Operating band n28 (</w:t>
      </w:r>
      <w:r w:rsidRPr="0046387C">
        <w:t>703 MHz – 748 MHz</w:t>
      </w:r>
      <w:r>
        <w:t>)</w:t>
      </w:r>
    </w:p>
    <w:p w14:paraId="4D635C6E" w14:textId="33B8DEB6" w:rsidR="0046387C" w:rsidRDefault="003D178A" w:rsidP="0046387C">
      <w:pPr>
        <w:pStyle w:val="ListParagraph"/>
        <w:numPr>
          <w:ilvl w:val="0"/>
          <w:numId w:val="8"/>
        </w:numPr>
      </w:pPr>
      <w:r>
        <w:t>P</w:t>
      </w:r>
      <w:r w:rsidR="0046387C">
        <w:t xml:space="preserve">ower classes and </w:t>
      </w:r>
      <w:r>
        <w:t>CBW</w:t>
      </w:r>
      <w:r w:rsidR="0046387C">
        <w:t>s</w:t>
      </w:r>
      <w:r>
        <w:t>:</w:t>
      </w:r>
    </w:p>
    <w:p w14:paraId="69873BB3" w14:textId="6ED77D6B" w:rsidR="0046387C" w:rsidRDefault="0046387C" w:rsidP="0046387C">
      <w:pPr>
        <w:pStyle w:val="ListParagraph"/>
        <w:numPr>
          <w:ilvl w:val="1"/>
          <w:numId w:val="8"/>
        </w:numPr>
      </w:pPr>
      <w:r>
        <w:t>PC2: 3 MHz, 5 MHz, 10 MHz, 15 MHz, 20 MHz, 25 MHz, 30 MHz, and 40 MHz</w:t>
      </w:r>
    </w:p>
    <w:p w14:paraId="237ACB19" w14:textId="613BE56E" w:rsidR="0046387C" w:rsidRDefault="0046387C" w:rsidP="0046387C">
      <w:pPr>
        <w:pStyle w:val="ListParagraph"/>
        <w:numPr>
          <w:ilvl w:val="1"/>
          <w:numId w:val="8"/>
        </w:numPr>
      </w:pPr>
      <w:r>
        <w:t>PC3: 40 MHz</w:t>
      </w:r>
    </w:p>
    <w:p w14:paraId="3C10268F" w14:textId="6732594A" w:rsidR="0046387C" w:rsidRDefault="0046387C" w:rsidP="0046387C">
      <w:pPr>
        <w:pStyle w:val="ListParagraph"/>
        <w:numPr>
          <w:ilvl w:val="0"/>
          <w:numId w:val="8"/>
        </w:numPr>
      </w:pPr>
      <w:r>
        <w:t>40 MHz is simulated at fixed center frequency of 723 MHz</w:t>
      </w:r>
      <w:r w:rsidR="006B627C">
        <w:t>;</w:t>
      </w:r>
      <w:r>
        <w:t xml:space="preserve"> channel</w:t>
      </w:r>
      <w:r w:rsidR="00A76FD1">
        <w:t xml:space="preserve"> positions for other CBWs</w:t>
      </w:r>
      <w:r>
        <w:t xml:space="preserve"> are allowed to vary within the operating band</w:t>
      </w:r>
    </w:p>
    <w:p w14:paraId="55E3A154" w14:textId="5A533C26" w:rsidR="00DA4217" w:rsidRDefault="00DA4217" w:rsidP="0046387C">
      <w:pPr>
        <w:pStyle w:val="ListParagraph"/>
        <w:numPr>
          <w:ilvl w:val="0"/>
          <w:numId w:val="8"/>
        </w:numPr>
      </w:pPr>
      <w:r>
        <w:t>WOLA processing</w:t>
      </w:r>
    </w:p>
    <w:p w14:paraId="48F7854C" w14:textId="77777777" w:rsidR="00DA4217" w:rsidRDefault="00DA4217" w:rsidP="00DA4217">
      <w:pPr>
        <w:pStyle w:val="ListParagraph"/>
        <w:numPr>
          <w:ilvl w:val="0"/>
          <w:numId w:val="8"/>
        </w:numPr>
        <w:overflowPunct/>
        <w:autoSpaceDE/>
        <w:autoSpaceDN/>
        <w:adjustRightInd/>
        <w:spacing w:after="160" w:line="259" w:lineRule="auto"/>
        <w:textAlignment w:val="auto"/>
      </w:pPr>
      <w:r>
        <w:t>I/Q image -28 dBc</w:t>
      </w:r>
    </w:p>
    <w:p w14:paraId="5AC187DA" w14:textId="77777777" w:rsidR="00DA4217" w:rsidRDefault="00DA4217" w:rsidP="00DA4217">
      <w:pPr>
        <w:pStyle w:val="ListParagraph"/>
        <w:numPr>
          <w:ilvl w:val="0"/>
          <w:numId w:val="8"/>
        </w:numPr>
        <w:overflowPunct/>
        <w:autoSpaceDE/>
        <w:autoSpaceDN/>
        <w:adjustRightInd/>
        <w:spacing w:after="160" w:line="259" w:lineRule="auto"/>
        <w:textAlignment w:val="auto"/>
      </w:pPr>
      <w:r>
        <w:t>Carrier leakage -28 dBc</w:t>
      </w:r>
    </w:p>
    <w:p w14:paraId="4D85AED4" w14:textId="478F0E77" w:rsidR="00DA4217" w:rsidRDefault="00DA4217" w:rsidP="00DA4217">
      <w:pPr>
        <w:pStyle w:val="ListParagraph"/>
        <w:numPr>
          <w:ilvl w:val="0"/>
          <w:numId w:val="8"/>
        </w:numPr>
        <w:overflowPunct/>
        <w:autoSpaceDE/>
        <w:autoSpaceDN/>
        <w:adjustRightInd/>
        <w:spacing w:after="160" w:line="259" w:lineRule="auto"/>
        <w:textAlignment w:val="auto"/>
      </w:pPr>
      <w:r>
        <w:t>CIM3 -60 dBc</w:t>
      </w:r>
    </w:p>
    <w:p w14:paraId="5712A51E" w14:textId="1F22AF72" w:rsidR="00DA4217" w:rsidRDefault="00DA4217" w:rsidP="00F744CF">
      <w:pPr>
        <w:pStyle w:val="ListParagraph"/>
        <w:numPr>
          <w:ilvl w:val="0"/>
          <w:numId w:val="8"/>
        </w:numPr>
        <w:overflowPunct/>
        <w:autoSpaceDE/>
        <w:autoSpaceDN/>
        <w:adjustRightInd/>
        <w:spacing w:after="160" w:line="259" w:lineRule="auto"/>
        <w:textAlignment w:val="auto"/>
      </w:pPr>
      <w:r>
        <w:t>Only additional spurious emission mask</w:t>
      </w:r>
      <w:r w:rsidR="00564C91">
        <w:t>s</w:t>
      </w:r>
      <w:r>
        <w:t xml:space="preserve"> </w:t>
      </w:r>
      <w:r w:rsidR="009A5845">
        <w:t xml:space="preserve">from NS_17 and NS_18 </w:t>
      </w:r>
      <w:r w:rsidR="00564C91">
        <w:t>are</w:t>
      </w:r>
      <w:r>
        <w:t xml:space="preserve"> simulated. Other gating factors (ACLR, SEM, etc.) are excluded.</w:t>
      </w:r>
    </w:p>
    <w:p w14:paraId="36CE10A3" w14:textId="3BA7C062" w:rsidR="00020F23" w:rsidRDefault="000A6A9A" w:rsidP="000A6A9A">
      <w:pPr>
        <w:pStyle w:val="Heading2"/>
      </w:pPr>
      <w:r>
        <w:t>2.2</w:t>
      </w:r>
      <w:r>
        <w:tab/>
      </w:r>
      <w:r w:rsidR="00F86DFE">
        <w:t>NS_17</w:t>
      </w:r>
    </w:p>
    <w:p w14:paraId="24BB072E"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 xml:space="preserve">Table 6.5.3.3.2-1: Additional requirements for </w:t>
      </w:r>
      <w:r w:rsidRPr="009A5845">
        <w:rPr>
          <w:rFonts w:ascii="Arial" w:eastAsia="Yu Mincho" w:hAnsi="Arial"/>
          <w:b/>
          <w:kern w:val="2"/>
          <w:sz w:val="24"/>
          <w:szCs w:val="24"/>
          <w:lang w:val="en-FI"/>
          <w14:ligatures w14:val="standardContextual"/>
        </w:rPr>
        <w:t>"</w:t>
      </w:r>
      <w:r w:rsidRPr="009A5845">
        <w:rPr>
          <w:rFonts w:ascii="Arial" w:eastAsia="Calibri" w:hAnsi="Arial"/>
          <w:b/>
          <w:kern w:val="2"/>
          <w:sz w:val="22"/>
          <w:szCs w:val="24"/>
          <w:lang w:val="en-FI"/>
          <w14:ligatures w14:val="standardContextual"/>
        </w:rPr>
        <w:t>NS_17</w:t>
      </w:r>
      <w:r w:rsidRPr="009A5845">
        <w:rPr>
          <w:rFonts w:ascii="Arial" w:eastAsia="Yu Mincho" w:hAnsi="Arial"/>
          <w:b/>
          <w:kern w:val="2"/>
          <w:sz w:val="24"/>
          <w:szCs w:val="24"/>
          <w:lang w:val="en-FI"/>
          <w14:ligatures w14:val="standardContextu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2378BFB1"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360F40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Frequency range</w:t>
            </w:r>
          </w:p>
          <w:p w14:paraId="023806E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3A6D6A4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12927BD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hideMark/>
          </w:tcPr>
          <w:p w14:paraId="18A59603"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cs="Arial"/>
                <w:b/>
                <w:kern w:val="2"/>
                <w:sz w:val="18"/>
                <w:szCs w:val="24"/>
                <w14:ligatures w14:val="standardContextual"/>
              </w:rPr>
            </w:pPr>
            <w:r w:rsidRPr="009A5845">
              <w:rPr>
                <w:rFonts w:ascii="Arial" w:eastAsia="Calibri" w:hAnsi="Arial" w:cs="Arial"/>
                <w:b/>
                <w:kern w:val="2"/>
                <w:sz w:val="18"/>
                <w:szCs w:val="24"/>
                <w14:ligatures w14:val="standardContextual"/>
              </w:rPr>
              <w:t>NOTE</w:t>
            </w:r>
          </w:p>
        </w:tc>
      </w:tr>
      <w:tr w:rsidR="009A5845" w:rsidRPr="009A5845" w14:paraId="590F6760"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6A5EB188"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4DCD8C2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w:t>
            </w:r>
          </w:p>
        </w:tc>
        <w:tc>
          <w:tcPr>
            <w:tcW w:w="1870" w:type="dxa"/>
            <w:tcBorders>
              <w:top w:val="nil"/>
              <w:left w:val="single" w:sz="4" w:space="0" w:color="auto"/>
              <w:bottom w:val="single" w:sz="4" w:space="0" w:color="auto"/>
              <w:right w:val="single" w:sz="4" w:space="0" w:color="auto"/>
            </w:tcBorders>
          </w:tcPr>
          <w:p w14:paraId="618623D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c>
          <w:tcPr>
            <w:tcW w:w="832" w:type="dxa"/>
            <w:tcBorders>
              <w:top w:val="nil"/>
              <w:left w:val="single" w:sz="4" w:space="0" w:color="auto"/>
              <w:bottom w:val="single" w:sz="4" w:space="0" w:color="auto"/>
              <w:right w:val="single" w:sz="4" w:space="0" w:color="auto"/>
            </w:tcBorders>
          </w:tcPr>
          <w:p w14:paraId="72198BA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snapToGrid w:val="0"/>
                <w:kern w:val="2"/>
                <w:sz w:val="18"/>
                <w:szCs w:val="18"/>
                <w14:ligatures w14:val="standardContextual"/>
              </w:rPr>
            </w:pPr>
          </w:p>
        </w:tc>
      </w:tr>
      <w:tr w:rsidR="009A5845" w:rsidRPr="009A5845" w14:paraId="39084989"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3EFDA252"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470 ≤ f ≤ 710</w:t>
            </w:r>
          </w:p>
        </w:tc>
        <w:tc>
          <w:tcPr>
            <w:tcW w:w="2967" w:type="dxa"/>
            <w:tcBorders>
              <w:top w:val="single" w:sz="4" w:space="0" w:color="auto"/>
              <w:left w:val="single" w:sz="4" w:space="0" w:color="auto"/>
              <w:bottom w:val="single" w:sz="4" w:space="0" w:color="auto"/>
              <w:right w:val="single" w:sz="4" w:space="0" w:color="auto"/>
            </w:tcBorders>
            <w:hideMark/>
          </w:tcPr>
          <w:p w14:paraId="2348F27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408A8E6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hideMark/>
          </w:tcPr>
          <w:p w14:paraId="1E86EB94"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1</w:t>
            </w:r>
          </w:p>
        </w:tc>
      </w:tr>
      <w:tr w:rsidR="009A5845" w:rsidRPr="009A5845" w14:paraId="431A0DFF" w14:textId="77777777" w:rsidTr="009A5845">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0DF9CC2A" w14:textId="77777777" w:rsidR="009A5845" w:rsidRPr="009A5845" w:rsidRDefault="009A5845" w:rsidP="009A5845">
            <w:pPr>
              <w:keepNext/>
              <w:keepLines/>
              <w:overflowPunct/>
              <w:autoSpaceDE/>
              <w:autoSpaceDN/>
              <w:adjustRightInd/>
              <w:spacing w:after="0" w:line="276" w:lineRule="auto"/>
              <w:ind w:left="851" w:hanging="851"/>
              <w:textAlignment w:val="auto"/>
              <w:rPr>
                <w:rFonts w:ascii="Arial" w:eastAsia="Calibri" w:hAnsi="Arial" w:cs="Arial"/>
                <w:kern w:val="2"/>
                <w:sz w:val="18"/>
                <w:szCs w:val="24"/>
                <w14:ligatures w14:val="standardContextual"/>
              </w:rPr>
            </w:pPr>
            <w:r w:rsidRPr="009A5845">
              <w:rPr>
                <w:rFonts w:ascii="Arial" w:eastAsia="Calibri" w:hAnsi="Arial"/>
                <w:kern w:val="2"/>
                <w:sz w:val="18"/>
                <w:szCs w:val="24"/>
                <w14:ligatures w14:val="standardContextual"/>
              </w:rPr>
              <w:t>NOTE 1:</w:t>
            </w:r>
            <w:r w:rsidRPr="009A5845">
              <w:rPr>
                <w:rFonts w:ascii="Arial" w:eastAsia="Calibri" w:hAnsi="Arial"/>
                <w:kern w:val="2"/>
                <w:sz w:val="18"/>
                <w:szCs w:val="24"/>
                <w14:ligatures w14:val="standardContextual"/>
              </w:rPr>
              <w:tab/>
              <w:t>Applicable when the assigned NR carrier is confined within 718 MHz and 748 MHz and when the channel bandwidth used is 5 or 10 MHz</w:t>
            </w:r>
            <w:r w:rsidRPr="009A5845">
              <w:rPr>
                <w:rFonts w:ascii="Arial" w:eastAsia="Calibri" w:hAnsi="Arial" w:cs="Arial"/>
                <w:kern w:val="2"/>
                <w:sz w:val="18"/>
                <w:szCs w:val="24"/>
                <w14:ligatures w14:val="standardContextual"/>
              </w:rPr>
              <w:t>.</w:t>
            </w:r>
            <w:r w:rsidRPr="009A5845">
              <w:rPr>
                <w:rFonts w:ascii="Arial" w:eastAsia="Calibri" w:hAnsi="Arial"/>
                <w:kern w:val="2"/>
                <w:sz w:val="18"/>
                <w:szCs w:val="24"/>
                <w14:ligatures w14:val="standardContextual"/>
              </w:rPr>
              <w:t xml:space="preserve"> Applicable when the assigned NR carrier is confined within 715 MHz and 718 MHz and when the channel bandwidth used is 3 MHz.</w:t>
            </w:r>
          </w:p>
        </w:tc>
      </w:tr>
    </w:tbl>
    <w:p w14:paraId="1A610F1D" w14:textId="3B33AB3F" w:rsidR="00482DDD" w:rsidRPr="009A5845" w:rsidRDefault="00482DDD" w:rsidP="000A6A9A">
      <w:pPr>
        <w:rPr>
          <w:lang w:val="en-FI"/>
        </w:rPr>
      </w:pPr>
    </w:p>
    <w:p w14:paraId="5558E0F5" w14:textId="59F9C197" w:rsidR="0008585F" w:rsidRDefault="0008585F" w:rsidP="0008585F">
      <w:pPr>
        <w:pStyle w:val="Heading2"/>
      </w:pPr>
      <w:r>
        <w:lastRenderedPageBreak/>
        <w:t>2.3</w:t>
      </w:r>
      <w:r>
        <w:tab/>
      </w:r>
      <w:r w:rsidR="00F86DFE">
        <w:t>NS_18</w:t>
      </w:r>
    </w:p>
    <w:p w14:paraId="341523A3" w14:textId="77777777" w:rsidR="009A5845" w:rsidRPr="009A5845" w:rsidRDefault="009A5845" w:rsidP="009A5845">
      <w:pPr>
        <w:keepNext/>
        <w:keepLines/>
        <w:overflowPunct/>
        <w:autoSpaceDE/>
        <w:autoSpaceDN/>
        <w:adjustRightInd/>
        <w:spacing w:before="60" w:after="160" w:line="276" w:lineRule="auto"/>
        <w:jc w:val="center"/>
        <w:textAlignment w:val="auto"/>
        <w:rPr>
          <w:rFonts w:ascii="Arial" w:eastAsia="Calibri" w:hAnsi="Arial"/>
          <w:b/>
          <w:kern w:val="2"/>
          <w:sz w:val="24"/>
          <w:szCs w:val="24"/>
          <w:lang w:val="en-FI"/>
          <w14:ligatures w14:val="standardContextual"/>
        </w:rPr>
      </w:pPr>
      <w:r w:rsidRPr="009A5845">
        <w:rPr>
          <w:rFonts w:ascii="Arial" w:eastAsia="Calibri" w:hAnsi="Arial"/>
          <w:b/>
          <w:kern w:val="2"/>
          <w:sz w:val="24"/>
          <w:szCs w:val="24"/>
          <w:lang w:val="en-FI"/>
          <w14:ligatures w14:val="standardContextual"/>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A5845" w:rsidRPr="009A5845" w14:paraId="77641C33" w14:textId="77777777" w:rsidTr="009A5845">
        <w:trPr>
          <w:trHeight w:val="187"/>
          <w:jc w:val="center"/>
        </w:trPr>
        <w:tc>
          <w:tcPr>
            <w:tcW w:w="1526" w:type="dxa"/>
            <w:tcBorders>
              <w:top w:val="single" w:sz="4" w:space="0" w:color="auto"/>
              <w:left w:val="single" w:sz="4" w:space="0" w:color="auto"/>
              <w:bottom w:val="nil"/>
              <w:right w:val="single" w:sz="4" w:space="0" w:color="auto"/>
            </w:tcBorders>
            <w:hideMark/>
          </w:tcPr>
          <w:p w14:paraId="2A04ED0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Frequency range</w:t>
            </w:r>
          </w:p>
          <w:p w14:paraId="1A06AE1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(MHz)</w:t>
            </w:r>
          </w:p>
        </w:tc>
        <w:tc>
          <w:tcPr>
            <w:tcW w:w="2967" w:type="dxa"/>
            <w:tcBorders>
              <w:top w:val="single" w:sz="4" w:space="0" w:color="auto"/>
              <w:left w:val="single" w:sz="4" w:space="0" w:color="auto"/>
              <w:bottom w:val="single" w:sz="4" w:space="0" w:color="auto"/>
              <w:right w:val="single" w:sz="4" w:space="0" w:color="auto"/>
            </w:tcBorders>
            <w:hideMark/>
          </w:tcPr>
          <w:p w14:paraId="0D5276B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Channel bandwidth (MHz) / Spectrum emission limit (dBm)</w:t>
            </w:r>
          </w:p>
        </w:tc>
        <w:tc>
          <w:tcPr>
            <w:tcW w:w="1870" w:type="dxa"/>
            <w:tcBorders>
              <w:top w:val="single" w:sz="4" w:space="0" w:color="auto"/>
              <w:left w:val="single" w:sz="4" w:space="0" w:color="auto"/>
              <w:bottom w:val="nil"/>
              <w:right w:val="single" w:sz="4" w:space="0" w:color="auto"/>
            </w:tcBorders>
            <w:hideMark/>
          </w:tcPr>
          <w:p w14:paraId="2FA003D9"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9A5845">
              <w:rPr>
                <w:rFonts w:ascii="Arial" w:eastAsia="Calibri" w:hAnsi="Arial"/>
                <w:b/>
                <w:kern w:val="2"/>
                <w:sz w:val="18"/>
                <w:szCs w:val="24"/>
                <w14:ligatures w14:val="standardContextual"/>
              </w:rPr>
              <w:t xml:space="preserve">Measurement bandwidth </w:t>
            </w:r>
          </w:p>
        </w:tc>
        <w:tc>
          <w:tcPr>
            <w:tcW w:w="832" w:type="dxa"/>
            <w:tcBorders>
              <w:top w:val="single" w:sz="4" w:space="0" w:color="auto"/>
              <w:left w:val="single" w:sz="4" w:space="0" w:color="auto"/>
              <w:bottom w:val="nil"/>
              <w:right w:val="single" w:sz="4" w:space="0" w:color="auto"/>
            </w:tcBorders>
          </w:tcPr>
          <w:p w14:paraId="28C0615E"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74377CAA" w14:textId="77777777" w:rsidTr="009A5845">
        <w:trPr>
          <w:trHeight w:val="187"/>
          <w:jc w:val="center"/>
        </w:trPr>
        <w:tc>
          <w:tcPr>
            <w:tcW w:w="1526" w:type="dxa"/>
            <w:tcBorders>
              <w:top w:val="nil"/>
              <w:left w:val="single" w:sz="4" w:space="0" w:color="auto"/>
              <w:bottom w:val="single" w:sz="4" w:space="0" w:color="auto"/>
              <w:right w:val="single" w:sz="4" w:space="0" w:color="auto"/>
            </w:tcBorders>
          </w:tcPr>
          <w:p w14:paraId="569AD48D"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c>
          <w:tcPr>
            <w:tcW w:w="2967" w:type="dxa"/>
            <w:tcBorders>
              <w:top w:val="single" w:sz="4" w:space="0" w:color="auto"/>
              <w:left w:val="single" w:sz="4" w:space="0" w:color="auto"/>
              <w:bottom w:val="single" w:sz="4" w:space="0" w:color="auto"/>
              <w:right w:val="single" w:sz="4" w:space="0" w:color="auto"/>
            </w:tcBorders>
            <w:hideMark/>
          </w:tcPr>
          <w:p w14:paraId="0CD9012A"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3, 5, 10, 15, 20, 30</w:t>
            </w:r>
          </w:p>
        </w:tc>
        <w:tc>
          <w:tcPr>
            <w:tcW w:w="1870" w:type="dxa"/>
            <w:tcBorders>
              <w:top w:val="nil"/>
              <w:left w:val="single" w:sz="4" w:space="0" w:color="auto"/>
              <w:bottom w:val="single" w:sz="4" w:space="0" w:color="auto"/>
              <w:right w:val="single" w:sz="4" w:space="0" w:color="auto"/>
            </w:tcBorders>
          </w:tcPr>
          <w:p w14:paraId="7C0E56DC"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c>
          <w:tcPr>
            <w:tcW w:w="832" w:type="dxa"/>
            <w:tcBorders>
              <w:top w:val="nil"/>
              <w:left w:val="single" w:sz="4" w:space="0" w:color="auto"/>
              <w:bottom w:val="single" w:sz="4" w:space="0" w:color="auto"/>
              <w:right w:val="single" w:sz="4" w:space="0" w:color="auto"/>
            </w:tcBorders>
          </w:tcPr>
          <w:p w14:paraId="4D273560"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p>
        </w:tc>
      </w:tr>
      <w:tr w:rsidR="009A5845" w:rsidRPr="009A5845" w14:paraId="28D812CF" w14:textId="77777777" w:rsidTr="009A5845">
        <w:trPr>
          <w:trHeight w:val="187"/>
          <w:jc w:val="center"/>
        </w:trPr>
        <w:tc>
          <w:tcPr>
            <w:tcW w:w="1526" w:type="dxa"/>
            <w:tcBorders>
              <w:top w:val="single" w:sz="4" w:space="0" w:color="auto"/>
              <w:left w:val="single" w:sz="4" w:space="0" w:color="auto"/>
              <w:bottom w:val="single" w:sz="4" w:space="0" w:color="auto"/>
              <w:right w:val="single" w:sz="4" w:space="0" w:color="auto"/>
            </w:tcBorders>
            <w:hideMark/>
          </w:tcPr>
          <w:p w14:paraId="0FB668F7"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692-698</w:t>
            </w:r>
          </w:p>
        </w:tc>
        <w:tc>
          <w:tcPr>
            <w:tcW w:w="2967" w:type="dxa"/>
            <w:tcBorders>
              <w:top w:val="single" w:sz="4" w:space="0" w:color="auto"/>
              <w:left w:val="single" w:sz="4" w:space="0" w:color="auto"/>
              <w:bottom w:val="single" w:sz="4" w:space="0" w:color="auto"/>
              <w:right w:val="single" w:sz="4" w:space="0" w:color="auto"/>
            </w:tcBorders>
            <w:hideMark/>
          </w:tcPr>
          <w:p w14:paraId="63E59216"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-26.2</w:t>
            </w:r>
          </w:p>
        </w:tc>
        <w:tc>
          <w:tcPr>
            <w:tcW w:w="1870" w:type="dxa"/>
            <w:tcBorders>
              <w:top w:val="single" w:sz="4" w:space="0" w:color="auto"/>
              <w:left w:val="single" w:sz="4" w:space="0" w:color="auto"/>
              <w:bottom w:val="single" w:sz="4" w:space="0" w:color="auto"/>
              <w:right w:val="single" w:sz="4" w:space="0" w:color="auto"/>
            </w:tcBorders>
            <w:hideMark/>
          </w:tcPr>
          <w:p w14:paraId="79224555"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r w:rsidRPr="009A5845">
              <w:rPr>
                <w:rFonts w:ascii="Arial" w:eastAsia="Calibri" w:hAnsi="Arial"/>
                <w:kern w:val="2"/>
                <w:sz w:val="18"/>
                <w:szCs w:val="24"/>
                <w14:ligatures w14:val="standardContextual"/>
              </w:rPr>
              <w:t>6 MHz</w:t>
            </w:r>
          </w:p>
        </w:tc>
        <w:tc>
          <w:tcPr>
            <w:tcW w:w="832" w:type="dxa"/>
            <w:tcBorders>
              <w:top w:val="single" w:sz="4" w:space="0" w:color="auto"/>
              <w:left w:val="single" w:sz="4" w:space="0" w:color="auto"/>
              <w:bottom w:val="single" w:sz="4" w:space="0" w:color="auto"/>
              <w:right w:val="single" w:sz="4" w:space="0" w:color="auto"/>
            </w:tcBorders>
          </w:tcPr>
          <w:p w14:paraId="32CACAEF" w14:textId="77777777" w:rsidR="009A5845" w:rsidRPr="009A5845" w:rsidRDefault="009A5845" w:rsidP="009A5845">
            <w:pPr>
              <w:keepNext/>
              <w:keepLines/>
              <w:overflowPunct/>
              <w:autoSpaceDE/>
              <w:autoSpaceDN/>
              <w:adjustRightInd/>
              <w:spacing w:after="0" w:line="276" w:lineRule="auto"/>
              <w:jc w:val="center"/>
              <w:textAlignment w:val="auto"/>
              <w:rPr>
                <w:rFonts w:ascii="Arial" w:eastAsia="Calibri" w:hAnsi="Arial"/>
                <w:kern w:val="2"/>
                <w:sz w:val="18"/>
                <w:szCs w:val="24"/>
                <w14:ligatures w14:val="standardContextual"/>
              </w:rPr>
            </w:pPr>
          </w:p>
        </w:tc>
      </w:tr>
    </w:tbl>
    <w:p w14:paraId="2CA922DA" w14:textId="33F61800" w:rsidR="00A46001" w:rsidRPr="005101D1" w:rsidRDefault="00A46001" w:rsidP="005101D1"/>
    <w:p w14:paraId="6FAAD9B6" w14:textId="50258EB9" w:rsidR="00A46001" w:rsidRDefault="00A46001" w:rsidP="00A46001">
      <w:pPr>
        <w:pStyle w:val="Heading1"/>
        <w:rPr>
          <w:lang w:val="sv-SE"/>
        </w:rPr>
      </w:pPr>
      <w:r>
        <w:t>3</w:t>
      </w:r>
      <w:r>
        <w:tab/>
      </w:r>
      <w:r w:rsidR="00F86DFE">
        <w:rPr>
          <w:lang w:val="sv-SE"/>
        </w:rPr>
        <w:t>Simulation results and discussion</w:t>
      </w:r>
    </w:p>
    <w:p w14:paraId="3748F97E" w14:textId="49D4E412" w:rsidR="00DB302B" w:rsidRPr="00DB302B" w:rsidRDefault="00DB302B" w:rsidP="00DB302B">
      <w:pPr>
        <w:rPr>
          <w:lang w:val="sv-SE"/>
        </w:rPr>
      </w:pPr>
      <w:r>
        <w:rPr>
          <w:lang w:val="sv-SE"/>
        </w:rPr>
        <w:t>Here we present examples of the simulation results along with the discussion. Complete sets of A-MPR triangles</w:t>
      </w:r>
      <w:r w:rsidR="004765C8">
        <w:rPr>
          <w:lang w:val="sv-SE"/>
        </w:rPr>
        <w:t xml:space="preserve"> for all modulations, waveforms and </w:t>
      </w:r>
      <w:r w:rsidR="006B627C">
        <w:rPr>
          <w:lang w:val="sv-SE"/>
        </w:rPr>
        <w:t>SCS</w:t>
      </w:r>
      <w:r w:rsidR="004765C8">
        <w:rPr>
          <w:lang w:val="sv-SE"/>
        </w:rPr>
        <w:t>s</w:t>
      </w:r>
      <w:r>
        <w:rPr>
          <w:lang w:val="sv-SE"/>
        </w:rPr>
        <w:t xml:space="preserve"> are presented in the appendix</w:t>
      </w:r>
      <w:r w:rsidR="003D6DD3">
        <w:rPr>
          <w:lang w:val="sv-SE"/>
        </w:rPr>
        <w:t xml:space="preserve"> for chosen center frequencies</w:t>
      </w:r>
      <w:r>
        <w:rPr>
          <w:lang w:val="sv-SE"/>
        </w:rPr>
        <w:t>.</w:t>
      </w:r>
    </w:p>
    <w:p w14:paraId="0DD2933B" w14:textId="04FB42F3" w:rsidR="00C56BF8" w:rsidRDefault="00DB302B" w:rsidP="006B627C">
      <w:pPr>
        <w:pStyle w:val="Heading2"/>
      </w:pPr>
      <w:r>
        <w:t>3.1</w:t>
      </w:r>
      <w:r>
        <w:tab/>
        <w:t>PC2</w:t>
      </w:r>
      <w:r w:rsidR="006B627C">
        <w:t xml:space="preserve"> </w:t>
      </w:r>
      <w:r w:rsidR="00C56BF8">
        <w:t>NS_17</w:t>
      </w:r>
    </w:p>
    <w:p w14:paraId="43CF96A2" w14:textId="21FEDFAD" w:rsidR="00C56BF8" w:rsidRDefault="00324C5A" w:rsidP="00C56BF8">
      <w:r>
        <w:t xml:space="preserve">According to NOTE 1 in the mask definition we only consider the </w:t>
      </w:r>
      <w:r w:rsidR="005E1486">
        <w:t>≥</w:t>
      </w:r>
      <w:r>
        <w:t xml:space="preserve">718 MHz region </w:t>
      </w:r>
      <w:r w:rsidR="006D5FE5">
        <w:t>for 5 MHz and 10 MHz CBWs and fixed center frequency of 716.5 MHz for 3 MHz CBW</w:t>
      </w:r>
      <w:r w:rsidR="008E33ED">
        <w:t xml:space="preserve">. </w:t>
      </w:r>
      <w:r w:rsidR="00505C96">
        <w:t>Only 10 MHz CBW requires A-MPR, and only for F</w:t>
      </w:r>
      <w:r w:rsidR="00505C96" w:rsidRPr="00505C96">
        <w:rPr>
          <w:vertAlign w:val="subscript"/>
        </w:rPr>
        <w:t>c</w:t>
      </w:r>
      <w:r w:rsidR="00505C96">
        <w:t xml:space="preserve"> below </w:t>
      </w:r>
      <w:r w:rsidR="00505C96" w:rsidRPr="00505C96">
        <w:t>728.1</w:t>
      </w:r>
      <w:r w:rsidR="00505C96">
        <w:t>8 MHz.</w:t>
      </w:r>
      <w:r w:rsidR="00FE5079">
        <w:t xml:space="preserve"> In Fig</w:t>
      </w:r>
      <w:r w:rsidR="0001525B">
        <w:t xml:space="preserve">ure </w:t>
      </w:r>
      <w:r w:rsidR="00FE5079">
        <w:t xml:space="preserve">1 we present the A-MPR for 10 MHz CBW in the lowest possible position of </w:t>
      </w:r>
      <w:bookmarkStart w:id="3" w:name="_Hlk173508413"/>
      <w:r w:rsidR="00FE5079">
        <w:t>F</w:t>
      </w:r>
      <w:r w:rsidR="00FE5079" w:rsidRPr="009408AA">
        <w:rPr>
          <w:vertAlign w:val="subscript"/>
        </w:rPr>
        <w:t>c</w:t>
      </w:r>
      <w:r w:rsidR="00FE5079">
        <w:t xml:space="preserve">=723 MHz </w:t>
      </w:r>
      <w:bookmarkEnd w:id="3"/>
      <w:r w:rsidR="00FE5079">
        <w:t>for QPSK modulation</w:t>
      </w:r>
      <w:r w:rsidR="0001525B">
        <w:t xml:space="preserve"> and 15 kHz SCS</w:t>
      </w:r>
      <w:r w:rsidR="00FE5079">
        <w:t>.</w:t>
      </w:r>
    </w:p>
    <w:p w14:paraId="74F0A915" w14:textId="7E8A2CD8" w:rsidR="00D43EE3" w:rsidRDefault="009408AA" w:rsidP="00C56BF8">
      <w:r w:rsidRPr="009408AA">
        <w:rPr>
          <w:b/>
          <w:bCs/>
          <w:noProof/>
        </w:rPr>
        <mc:AlternateContent>
          <mc:Choice Requires="wps">
            <w:drawing>
              <wp:anchor distT="0" distB="0" distL="114300" distR="114300" simplePos="0" relativeHeight="251658240" behindDoc="0" locked="0" layoutInCell="1" allowOverlap="1" wp14:anchorId="24280E1B" wp14:editId="62425BBB">
                <wp:simplePos x="0" y="0"/>
                <wp:positionH relativeFrom="margin">
                  <wp:posOffset>2680335</wp:posOffset>
                </wp:positionH>
                <wp:positionV relativeFrom="paragraph">
                  <wp:posOffset>1936114</wp:posOffset>
                </wp:positionV>
                <wp:extent cx="952500" cy="2571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57175"/>
                        </a:xfrm>
                        <a:prstGeom prst="rect">
                          <a:avLst/>
                        </a:prstGeom>
                        <a:solidFill>
                          <a:srgbClr val="FFFFFF"/>
                        </a:solidFill>
                        <a:ln w="9525">
                          <a:noFill/>
                          <a:miter lim="800000"/>
                          <a:headEnd/>
                          <a:tailEnd/>
                        </a:ln>
                      </wps:spPr>
                      <wps:txbx>
                        <w:txbxContent>
                          <w:p w14:paraId="7C6F5B94" w14:textId="4FE818FE" w:rsidR="009408AA" w:rsidRPr="009408AA" w:rsidRDefault="009408AA">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24280E1B" id="_x0000_t202" coordsize="21600,21600" o:spt="202" path="m,l,21600r21600,l21600,xe">
                <v:stroke joinstyle="miter"/>
                <v:path gradientshapeok="t" o:connecttype="rect"/>
              </v:shapetype>
              <v:shape id="Text Box 2" o:spid="_x0000_s1026" type="#_x0000_t202" style="position:absolute;margin-left:211.05pt;margin-top:152.45pt;width:75pt;height:20.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NH/CAIAAPUDAAAOAAAAZHJzL2Uyb0RvYy54bWysU1Fv0zAQfkfiP1h+p0mrlm5R02l0FCGN&#10;gTT4AY7jNBaOz5zdJuPXc3ayrsAbwg+Wz3f+7u67z5uboTPspNBrsCWfz3LOlJVQa3so+bev+zdX&#10;nPkgbC0MWFXyJ+X5zfb1q03vCrWAFkytkBGI9UXvSt6G4Ios87JVnfAzcMqSswHsRCATD1mNoif0&#10;zmSLPH+b9YC1Q5DKe7q9G518m/CbRsnwuWm8CsyUnGoLace0V3HPthtRHFC4VsupDPEPVXRCW0p6&#10;hroTQbAj6r+gOi0RPDRhJqHLoGm0VKkH6mae/9HNYyucSr0QOd6dafL/D1Y+nB7dF2RheAcDDTA1&#10;4d09yO+eWdi1wh7ULSL0rRI1JZ5HyrLe+WJ6Gqn2hY8gVf8JahqyOAZIQEODXWSF+mSETgN4OpOu&#10;hsAkXV6vFqucPJJci9V6vl6lDKJ4fuzQhw8KOhYPJUeaaQIXp3sfYjGieA6JuTwYXe+1McnAQ7Uz&#10;yE6C5r9Pa0L/LcxY1o+VJGQL8X2SRqcD6dPoruRXeVyjYiIZ722dQoLQZjxTJcZO7ERCRmrCUA0U&#10;GFmqoH4inhBGHdK/oUML+JOznjRYcv/jKFBxZj5a4vp6vlxG0SZjuVovyMBLT3XpEVYSVMkDZ+Nx&#10;F5LQIw8WbmkmjU58vVQy1UraSjRO/yCK99JOUS+/dfsLAAD//wMAUEsDBBQABgAIAAAAIQAdNm/8&#10;3wAAAAsBAAAPAAAAZHJzL2Rvd25yZXYueG1sTI/BToNAEIbvJr7DZky8GLsUobSUpVETjdfWPsDA&#10;ToHIzhJ2W+jbuz3pcf758s83xW42vbjQ6DrLCpaLCARxbXXHjYLj98fzGoTzyBp7y6TgSg525f1d&#10;gbm2E+/pcvCNCCXsclTQej/kUrq6JYNuYQfisDvZ0aAP49hIPeIUyk0v4yhaSYMdhwstDvTeUv1z&#10;OBsFp6/pKd1M1ac/Zvtk9YZdVtmrUo8P8+sWhKfZ/8Fw0w/qUAanyp5ZO9ErSOJ4GVAFL1GyARGI&#10;NLslVUiSNAFZFvL/D+UvAAAA//8DAFBLAQItABQABgAIAAAAIQC2gziS/gAAAOEBAAATAAAAAAAA&#10;AAAAAAAAAAAAAABbQ29udGVudF9UeXBlc10ueG1sUEsBAi0AFAAGAAgAAAAhADj9If/WAAAAlAEA&#10;AAsAAAAAAAAAAAAAAAAALwEAAF9yZWxzLy5yZWxzUEsBAi0AFAAGAAgAAAAhAF2k0f8IAgAA9QMA&#10;AA4AAAAAAAAAAAAAAAAALgIAAGRycy9lMm9Eb2MueG1sUEsBAi0AFAAGAAgAAAAhAB02b/zfAAAA&#10;CwEAAA8AAAAAAAAAAAAAAAAAYgQAAGRycy9kb3ducmV2LnhtbFBLBQYAAAAABAAEAPMAAABuBQAA&#10;AAA=&#10;" stroked="f">
                <v:textbox>
                  <w:txbxContent>
                    <w:p w14:paraId="7C6F5B94" w14:textId="4FE818FE" w:rsidR="009408AA" w:rsidRPr="009408AA" w:rsidRDefault="009408AA">
                      <w:pPr>
                        <w:rPr>
                          <w:lang w:val="en-US"/>
                        </w:rPr>
                      </w:pPr>
                      <w:r w:rsidRPr="009408AA">
                        <w:rPr>
                          <w:lang w:val="en-US"/>
                        </w:rPr>
                        <w:t>Fc=723 MHz</w:t>
                      </w:r>
                    </w:p>
                  </w:txbxContent>
                </v:textbox>
                <w10:wrap anchorx="margin"/>
              </v:shape>
            </w:pict>
          </mc:Fallback>
        </mc:AlternateContent>
      </w:r>
      <w:r w:rsidR="00D43EE3">
        <w:rPr>
          <w:noProof/>
        </w:rPr>
        <w:drawing>
          <wp:inline distT="0" distB="0" distL="0" distR="0" wp14:anchorId="67DABACD" wp14:editId="7618B57F">
            <wp:extent cx="2996190" cy="2246381"/>
            <wp:effectExtent l="0" t="0" r="0" b="1905"/>
            <wp:docPr id="516694362" name="Picture 7"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516694362" name="Picture 7" descr="A graph with different colored squar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D43EE3">
        <w:rPr>
          <w:noProof/>
        </w:rPr>
        <w:drawing>
          <wp:inline distT="0" distB="0" distL="0" distR="0" wp14:anchorId="7D3941BE" wp14:editId="6D1E6C96">
            <wp:extent cx="2996190" cy="2246381"/>
            <wp:effectExtent l="0" t="0" r="0" b="1905"/>
            <wp:docPr id="806725827"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806725827" name="Picture 8" descr="A graph with different colored bar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FE9DCDC" w14:textId="2E4C5D13" w:rsidR="009F00ED" w:rsidRDefault="00D43EE3" w:rsidP="009F00ED">
      <w:pPr>
        <w:rPr>
          <w:lang w:val="sv-SE"/>
        </w:rPr>
      </w:pPr>
      <w:r w:rsidRPr="00076746">
        <w:rPr>
          <w:b/>
          <w:bCs/>
        </w:rPr>
        <w:t>Figure 1:</w:t>
      </w:r>
      <w:r>
        <w:rPr>
          <w:b/>
          <w:bCs/>
        </w:rPr>
        <w:t xml:space="preserve"> Examples of the simulated backoff to satisfy the NS_17 additional spurious emission limit</w:t>
      </w:r>
      <w:r w:rsidR="009F00ED">
        <w:rPr>
          <w:b/>
          <w:bCs/>
        </w:rPr>
        <w:t xml:space="preserve"> for 10 MHz CBW at F</w:t>
      </w:r>
      <w:r w:rsidR="009F00ED" w:rsidRPr="001A51E5">
        <w:rPr>
          <w:b/>
          <w:bCs/>
          <w:vertAlign w:val="subscript"/>
        </w:rPr>
        <w:t>c</w:t>
      </w:r>
      <w:r w:rsidR="009F00ED">
        <w:rPr>
          <w:b/>
          <w:bCs/>
        </w:rPr>
        <w:t>=723 MHz.</w:t>
      </w:r>
    </w:p>
    <w:p w14:paraId="6D0E52BA" w14:textId="2E5C39CF" w:rsidR="00D43EE3" w:rsidRPr="00467DAB" w:rsidRDefault="00D40A11" w:rsidP="00C56BF8">
      <w:pPr>
        <w:rPr>
          <w:b/>
          <w:bCs/>
          <w:lang w:val="sv-SE"/>
        </w:rPr>
      </w:pPr>
      <w:r w:rsidRPr="00467DAB">
        <w:rPr>
          <w:b/>
          <w:bCs/>
          <w:lang w:val="sv-SE"/>
        </w:rPr>
        <w:t>Observation</w:t>
      </w:r>
      <w:r w:rsidR="00BA0FC3" w:rsidRPr="00467DAB">
        <w:rPr>
          <w:b/>
          <w:bCs/>
          <w:lang w:val="sv-SE"/>
        </w:rPr>
        <w:t xml:space="preserve"> 1</w:t>
      </w:r>
      <w:r w:rsidRPr="00467DAB">
        <w:rPr>
          <w:b/>
          <w:bCs/>
          <w:lang w:val="sv-SE"/>
        </w:rPr>
        <w:t>: For PC2 and NS_17 A-MPR is required for 10 MHz CBW.</w:t>
      </w:r>
    </w:p>
    <w:p w14:paraId="31122188" w14:textId="4AF640D2" w:rsidR="00C56BF8" w:rsidRDefault="00C56BF8" w:rsidP="00C56BF8">
      <w:pPr>
        <w:pStyle w:val="Heading2"/>
      </w:pPr>
      <w:r>
        <w:t>3.2</w:t>
      </w:r>
      <w:r>
        <w:tab/>
      </w:r>
      <w:r w:rsidR="006B627C">
        <w:t xml:space="preserve">PC2 </w:t>
      </w:r>
      <w:r>
        <w:t>NS</w:t>
      </w:r>
      <w:r w:rsidR="00505C96">
        <w:t>_</w:t>
      </w:r>
      <w:r>
        <w:t>18</w:t>
      </w:r>
    </w:p>
    <w:p w14:paraId="2DCB6290" w14:textId="4078B28B" w:rsidR="00F0151C" w:rsidRDefault="00F0151C" w:rsidP="00DB302B">
      <w:r>
        <w:t>In Table 1 we present the center frequencies where A-MPR is needed for CBWs from 5 MHz to 20 MHz. 3 MHz CBW doesn’t require A-MPR at all while A-MPR cannot be completely avoided anywhere in the operating band at 25</w:t>
      </w:r>
      <w:r w:rsidR="0039666D">
        <w:t xml:space="preserve"> MHz</w:t>
      </w:r>
      <w:r>
        <w:t xml:space="preserve"> and 30</w:t>
      </w:r>
      <w:r w:rsidR="0039666D">
        <w:t xml:space="preserve"> MHz</w:t>
      </w:r>
      <w:r>
        <w:t xml:space="preserve"> CBWs. </w:t>
      </w:r>
    </w:p>
    <w:p w14:paraId="615B57CC" w14:textId="196D9A62" w:rsidR="00D53CEF" w:rsidRDefault="00D53CEF" w:rsidP="00D53CEF">
      <w:pPr>
        <w:spacing w:line="257" w:lineRule="auto"/>
        <w:jc w:val="center"/>
        <w:rPr>
          <w:rFonts w:ascii="Arial" w:eastAsia="Arial" w:hAnsi="Arial" w:cs="Arial"/>
          <w:b/>
          <w:bCs/>
        </w:rPr>
      </w:pPr>
      <w:r w:rsidRPr="661A0B22">
        <w:rPr>
          <w:rFonts w:ascii="Arial" w:eastAsia="Arial" w:hAnsi="Arial" w:cs="Arial"/>
          <w:b/>
          <w:bCs/>
        </w:rPr>
        <w:t xml:space="preserve">Table </w:t>
      </w:r>
      <w:r>
        <w:rPr>
          <w:rFonts w:ascii="Arial" w:eastAsia="Arial" w:hAnsi="Arial" w:cs="Arial"/>
          <w:b/>
          <w:bCs/>
        </w:rPr>
        <w:t>1</w:t>
      </w:r>
      <w:r w:rsidRPr="661A0B22">
        <w:rPr>
          <w:rFonts w:ascii="Arial" w:eastAsia="Arial" w:hAnsi="Arial" w:cs="Arial"/>
          <w:b/>
          <w:bCs/>
        </w:rPr>
        <w:t xml:space="preserve">: </w:t>
      </w:r>
      <w:r>
        <w:rPr>
          <w:rFonts w:ascii="Arial" w:eastAsia="Arial" w:hAnsi="Arial" w:cs="Arial"/>
          <w:b/>
          <w:bCs/>
        </w:rPr>
        <w:t>The center frequencies where A-MPR</w:t>
      </w:r>
      <w:r w:rsidR="00C56BF8">
        <w:rPr>
          <w:rFonts w:ascii="Arial" w:eastAsia="Arial" w:hAnsi="Arial" w:cs="Arial"/>
          <w:b/>
          <w:bCs/>
        </w:rPr>
        <w:t xml:space="preserve"> for NS_18</w:t>
      </w:r>
      <w:r>
        <w:rPr>
          <w:rFonts w:ascii="Arial" w:eastAsia="Arial" w:hAnsi="Arial" w:cs="Arial"/>
          <w:b/>
          <w:bCs/>
        </w:rPr>
        <w:t xml:space="preserve"> is not needed according to simulations. For higher CBWs A-MPR cannot be avoided anywhere in the operating band. </w:t>
      </w:r>
      <w:r w:rsidR="00C56BF8">
        <w:rPr>
          <w:rFonts w:ascii="Arial" w:eastAsia="Arial" w:hAnsi="Arial" w:cs="Arial"/>
          <w:b/>
          <w:bCs/>
        </w:rPr>
        <w:t>3 MHz</w:t>
      </w:r>
      <w:r>
        <w:rPr>
          <w:rFonts w:ascii="Arial" w:eastAsia="Arial" w:hAnsi="Arial" w:cs="Arial"/>
          <w:b/>
          <w:bCs/>
        </w:rPr>
        <w:t xml:space="preserve"> CBW do</w:t>
      </w:r>
      <w:r w:rsidR="00C56BF8">
        <w:rPr>
          <w:rFonts w:ascii="Arial" w:eastAsia="Arial" w:hAnsi="Arial" w:cs="Arial"/>
          <w:b/>
          <w:bCs/>
        </w:rPr>
        <w:t>es</w:t>
      </w:r>
      <w:r>
        <w:rPr>
          <w:rFonts w:ascii="Arial" w:eastAsia="Arial" w:hAnsi="Arial" w:cs="Arial"/>
          <w:b/>
          <w:bCs/>
        </w:rPr>
        <w:t xml:space="preserve">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D53CEF" w14:paraId="17CF572A"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41710" w14:textId="77777777" w:rsidR="00D53CEF" w:rsidRDefault="00D53CEF" w:rsidP="00223738">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7356E25" w14:textId="77777777" w:rsidR="00D53CEF" w:rsidRDefault="00D53CEF" w:rsidP="00223738">
            <w:pPr>
              <w:jc w:val="center"/>
            </w:pPr>
            <w:r>
              <w:t>F</w:t>
            </w:r>
            <w:r>
              <w:rPr>
                <w:vertAlign w:val="subscript"/>
              </w:rPr>
              <w:t>c, noAMPR</w:t>
            </w:r>
            <w:r>
              <w:br/>
              <w:t>[MHz]</w:t>
            </w:r>
          </w:p>
        </w:tc>
      </w:tr>
      <w:tr w:rsidR="00D53CEF" w14:paraId="0282A39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FE6C556" w14:textId="3BCFA09A" w:rsidR="00D53CEF" w:rsidRPr="661A0B22" w:rsidRDefault="00D53CEF" w:rsidP="00223738">
            <w:pPr>
              <w:jc w:val="center"/>
              <w:rPr>
                <w:rFonts w:ascii="Calibri" w:eastAsia="Calibri" w:hAnsi="Calibri" w:cs="Calibri"/>
              </w:rPr>
            </w:pPr>
            <w:r>
              <w:rPr>
                <w:rFonts w:ascii="Calibri" w:eastAsia="Calibri" w:hAnsi="Calibri" w:cs="Calibri"/>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32D78DF" w14:textId="4C9C7F69" w:rsidR="00D53CEF" w:rsidRDefault="005E1486" w:rsidP="00223738">
            <w:pPr>
              <w:jc w:val="center"/>
            </w:pPr>
            <w:r>
              <w:t xml:space="preserve">≥ </w:t>
            </w:r>
            <w:r w:rsidR="00502B4F">
              <w:t>707.34</w:t>
            </w:r>
          </w:p>
        </w:tc>
      </w:tr>
      <w:tr w:rsidR="00D53CEF" w14:paraId="0AA6CB3D"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8CB4BAC" w14:textId="6B3A2D4F" w:rsidR="00D53CEF" w:rsidRPr="661A0B22" w:rsidRDefault="00D53CEF" w:rsidP="00223738">
            <w:pPr>
              <w:jc w:val="center"/>
              <w:rPr>
                <w:rFonts w:ascii="Calibri" w:eastAsia="Calibri" w:hAnsi="Calibri" w:cs="Calibri"/>
              </w:rPr>
            </w:pPr>
            <w:r>
              <w:rPr>
                <w:rFonts w:ascii="Calibri" w:eastAsia="Calibri" w:hAnsi="Calibri" w:cs="Calibri"/>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A22F891" w14:textId="5AC77A12" w:rsidR="00D53CEF" w:rsidRDefault="005E1486" w:rsidP="00223738">
            <w:pPr>
              <w:jc w:val="center"/>
            </w:pPr>
            <w:r>
              <w:t>≥</w:t>
            </w:r>
            <w:r w:rsidR="00502B4F">
              <w:t xml:space="preserve"> </w:t>
            </w:r>
            <w:r w:rsidR="00502B4F" w:rsidRPr="00502B4F">
              <w:t>716.4</w:t>
            </w:r>
            <w:r w:rsidR="00502B4F">
              <w:t>9</w:t>
            </w:r>
          </w:p>
        </w:tc>
      </w:tr>
      <w:tr w:rsidR="00D53CEF" w14:paraId="337D08DB"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84F91F2" w14:textId="77777777" w:rsidR="00D53CEF" w:rsidRDefault="00D53CEF" w:rsidP="00223738">
            <w:pPr>
              <w:jc w:val="center"/>
            </w:pPr>
            <w:r w:rsidRPr="661A0B22">
              <w:rPr>
                <w:rFonts w:ascii="Calibri" w:eastAsia="Calibri" w:hAnsi="Calibri" w:cs="Calibri"/>
                <w:szCs w:val="20"/>
              </w:rPr>
              <w:lastRenderedPageBreak/>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F9EA06B" w14:textId="504BA224" w:rsidR="00D53CEF" w:rsidRDefault="005E1486" w:rsidP="00223738">
            <w:pPr>
              <w:jc w:val="center"/>
            </w:pPr>
            <w:r>
              <w:t xml:space="preserve">≥ </w:t>
            </w:r>
            <w:r w:rsidR="006914CF" w:rsidRPr="006914CF">
              <w:t>725.4</w:t>
            </w:r>
            <w:r w:rsidR="006914CF">
              <w:t>7</w:t>
            </w:r>
          </w:p>
        </w:tc>
      </w:tr>
      <w:tr w:rsidR="00D53CEF" w14:paraId="427693AC" w14:textId="77777777" w:rsidTr="00223738">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EC98742" w14:textId="77777777" w:rsidR="00D53CEF" w:rsidRDefault="00D53CEF" w:rsidP="00223738">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456D6AD" w14:textId="42B3DC16" w:rsidR="00D53CEF" w:rsidRDefault="005E1486" w:rsidP="00223738">
            <w:pPr>
              <w:jc w:val="center"/>
            </w:pPr>
            <w:r>
              <w:t xml:space="preserve">≥ </w:t>
            </w:r>
            <w:r w:rsidR="006914CF" w:rsidRPr="006914CF">
              <w:t>733.2</w:t>
            </w:r>
            <w:r w:rsidR="006914CF">
              <w:t>2</w:t>
            </w:r>
          </w:p>
        </w:tc>
      </w:tr>
    </w:tbl>
    <w:p w14:paraId="1EE7BB8F" w14:textId="77777777" w:rsidR="00F0151C" w:rsidRDefault="00F0151C" w:rsidP="00F0151C"/>
    <w:p w14:paraId="1E522EDE" w14:textId="766D450C" w:rsidR="00F0151C" w:rsidRDefault="00F0151C" w:rsidP="00F0151C">
      <w:r>
        <w:t>In Fig</w:t>
      </w:r>
      <w:r w:rsidR="0037344A">
        <w:t>ure</w:t>
      </w:r>
      <w:r>
        <w:t xml:space="preserve"> 2 we present A-MPR triangles for 20 MHz CBW at the lower edge of the operating band for QPSK modulation and 15 kHz SCS. </w:t>
      </w:r>
      <w:bookmarkStart w:id="4" w:name="_Hlk173767422"/>
      <w:r>
        <w:t>Note that for CBW≤30 MHz we have performed the simulations so that also the spectrum below the mask segment is compared to the mask limit. In this way it is easier to use the triangles to form A-MPR specifications that are valid in a frequency range instead of a fixed center frequency.</w:t>
      </w:r>
    </w:p>
    <w:bookmarkEnd w:id="4"/>
    <w:p w14:paraId="6960A99E" w14:textId="497991CE" w:rsidR="00F0151C" w:rsidRDefault="00F0151C" w:rsidP="00F0151C">
      <w:r w:rsidRPr="009408AA">
        <w:rPr>
          <w:b/>
          <w:bCs/>
          <w:noProof/>
        </w:rPr>
        <mc:AlternateContent>
          <mc:Choice Requires="wps">
            <w:drawing>
              <wp:anchor distT="0" distB="0" distL="114300" distR="114300" simplePos="0" relativeHeight="251660288" behindDoc="0" locked="0" layoutInCell="1" allowOverlap="1" wp14:anchorId="2DC5E1F0" wp14:editId="7536EC1A">
                <wp:simplePos x="0" y="0"/>
                <wp:positionH relativeFrom="margin">
                  <wp:align>center</wp:align>
                </wp:positionH>
                <wp:positionV relativeFrom="paragraph">
                  <wp:posOffset>1936750</wp:posOffset>
                </wp:positionV>
                <wp:extent cx="952500" cy="209550"/>
                <wp:effectExtent l="0" t="0" r="0" b="0"/>
                <wp:wrapNone/>
                <wp:docPr id="7860023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09550"/>
                        </a:xfrm>
                        <a:prstGeom prst="rect">
                          <a:avLst/>
                        </a:prstGeom>
                        <a:solidFill>
                          <a:srgbClr val="FFFFFF"/>
                        </a:solidFill>
                        <a:ln w="9525">
                          <a:noFill/>
                          <a:miter lim="800000"/>
                          <a:headEnd/>
                          <a:tailEnd/>
                        </a:ln>
                      </wps:spPr>
                      <wps:txb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DC5E1F0" id="_x0000_s1027" type="#_x0000_t202" style="position:absolute;margin-left:0;margin-top:152.5pt;width:75pt;height:16.5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7NSCgIAAPwDAAAOAAAAZHJzL2Uyb0RvYy54bWysU9uO2yAQfa/Uf0C8N3aipN1YcVbbbFNV&#10;2l6kbT8AYxyjYoYOJHb69R2wNxtt36rygBgGDmfOHDa3Q2fYSaHXYEs+n+WcKSuh1vZQ8h/f929u&#10;OPNB2FoYsKrkZ+X57fb1q03vCrWAFkytkBGI9UXvSt6G4Ios87JVnfAzcMpSsgHsRKAQD1mNoif0&#10;zmSLPH+b9YC1Q5DKe9q9H5N8m/CbRsnwtWm8CsyUnLiFNGOaqzhn240oDihcq+VEQ/wDi05oS49e&#10;oO5FEOyI+i+oTksED02YSegyaBotVaqBqpnnL6p5bIVTqRYSx7uLTP7/wcovp0f3DVkY3sNADUxF&#10;ePcA8qdnFnatsAd1hwh9q0RND8+jZFnvfDFdjVL7wkeQqv8MNTVZHAMkoKHBLqpCdTJCpwacL6Kr&#10;ITBJm+vVYpVTRlJqka9Xq9SUTBRPlx368FFBx+Ki5Eg9TeDi9OBDJCOKpyPxLQ9G13ttTArwUO0M&#10;spOg/u/TSPxfHDOW9SOThGwh3k/W6HQgfxrdlfwmj2N0TBTjg63TkSC0GdfExNhJnSjIKE0YqoHp&#10;epIuilVBfSa5EEY70vehRQv4m7OerFhy/+soUHFmPlmSfD1fLqN3U7BcvVtQgNeZ6jojrCSokgfO&#10;xuUuJL9HOSzcUWsanWR7ZjJRJoslNafvED18HadTz592+wcAAP//AwBQSwMEFAAGAAgAAAAhAOSa&#10;QwncAAAACAEAAA8AAABkcnMvZG93bnJldi54bWxMj81Ow0AMhO9IvMPKSFwQ3YWS/qTZVIAE4trS&#10;B3ASN4nIeqPstknfHvcEt7HHGn+TbSfXqTMNofVs4WlmQBGXvmq5tnD4/nhcgQoRucLOM1m4UIBt&#10;fnuTYVr5kXd03sdaSQiHFC00Mfap1qFsyGGY+Z5YvKMfHEYZh1pXA44S7jr9bMxCO2xZPjTY03tD&#10;5c/+5Cwcv8aHZD0Wn/Gw3L0s3rBdFv5i7f3d9LoBFWmKf8dwxRd0yIWp8CeuguosSJFoYW4SEVc7&#10;MSIK2cxXBnSe6f8F8l8AAAD//wMAUEsBAi0AFAAGAAgAAAAhALaDOJL+AAAA4QEAABMAAAAAAAAA&#10;AAAAAAAAAAAAAFtDb250ZW50X1R5cGVzXS54bWxQSwECLQAUAAYACAAAACEAOP0h/9YAAACUAQAA&#10;CwAAAAAAAAAAAAAAAAAvAQAAX3JlbHMvLnJlbHNQSwECLQAUAAYACAAAACEAt/OzUgoCAAD8AwAA&#10;DgAAAAAAAAAAAAAAAAAuAgAAZHJzL2Uyb0RvYy54bWxQSwECLQAUAAYACAAAACEA5JpDCdwAAAAI&#10;AQAADwAAAAAAAAAAAAAAAABkBAAAZHJzL2Rvd25yZXYueG1sUEsFBgAAAAAEAAQA8wAAAG0FAAAA&#10;AA==&#10;" stroked="f">
                <v:textbox>
                  <w:txbxContent>
                    <w:p w14:paraId="0CDCA408" w14:textId="411B5F55" w:rsidR="00F0151C" w:rsidRPr="009408AA" w:rsidRDefault="00F0151C" w:rsidP="00F0151C">
                      <w:pPr>
                        <w:rPr>
                          <w:lang w:val="en-US"/>
                        </w:rPr>
                      </w:pPr>
                      <w:r w:rsidRPr="009408AA">
                        <w:rPr>
                          <w:lang w:val="en-US"/>
                        </w:rPr>
                        <w:t>Fc=7</w:t>
                      </w:r>
                      <w:r>
                        <w:rPr>
                          <w:lang w:val="en-US"/>
                        </w:rPr>
                        <w:t>1</w:t>
                      </w:r>
                      <w:r w:rsidRPr="009408AA">
                        <w:rPr>
                          <w:lang w:val="en-US"/>
                        </w:rPr>
                        <w:t>3 MHz</w:t>
                      </w:r>
                    </w:p>
                  </w:txbxContent>
                </v:textbox>
                <w10:wrap anchorx="margin"/>
              </v:shape>
            </w:pict>
          </mc:Fallback>
        </mc:AlternateContent>
      </w:r>
      <w:r>
        <w:rPr>
          <w:noProof/>
        </w:rPr>
        <w:drawing>
          <wp:inline distT="0" distB="0" distL="0" distR="0" wp14:anchorId="5DD1B9FA" wp14:editId="394508E7">
            <wp:extent cx="2996190" cy="2246381"/>
            <wp:effectExtent l="0" t="0" r="0" b="1905"/>
            <wp:docPr id="2130351054"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2130351054" name="Picture 7" descr="A graph of different color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151728" wp14:editId="5C61DAFC">
            <wp:extent cx="2996190" cy="2246381"/>
            <wp:effectExtent l="0" t="0" r="0" b="1905"/>
            <wp:docPr id="1239980344"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239980344" name="Picture 8" descr="A graph with different colored bar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1C4FBE0" w14:textId="09492A5C" w:rsidR="001A51E5" w:rsidRDefault="00F0151C" w:rsidP="001A51E5">
      <w:pPr>
        <w:rPr>
          <w:lang w:val="sv-SE"/>
        </w:rPr>
      </w:pPr>
      <w:r w:rsidRPr="00076746">
        <w:rPr>
          <w:b/>
          <w:bCs/>
        </w:rPr>
        <w:t xml:space="preserve">Figure </w:t>
      </w:r>
      <w:r w:rsidR="001A51E5">
        <w:rPr>
          <w:b/>
          <w:bCs/>
        </w:rPr>
        <w:t>2</w:t>
      </w:r>
      <w:r w:rsidRPr="00076746">
        <w:rPr>
          <w:b/>
          <w:bCs/>
        </w:rPr>
        <w:t>:</w:t>
      </w:r>
      <w:r>
        <w:rPr>
          <w:b/>
          <w:bCs/>
        </w:rPr>
        <w:t xml:space="preserve"> Examples of the simulated backoff to satisfy the NS_18 additional spurious emission limit</w:t>
      </w:r>
      <w:r w:rsidR="001A51E5" w:rsidRPr="001A51E5">
        <w:rPr>
          <w:b/>
          <w:bCs/>
        </w:rPr>
        <w:t xml:space="preserve"> </w:t>
      </w:r>
      <w:r w:rsidR="001A51E5">
        <w:rPr>
          <w:b/>
          <w:bCs/>
        </w:rPr>
        <w:t>for 20 MHz CBW at F</w:t>
      </w:r>
      <w:r w:rsidR="001A51E5" w:rsidRPr="001A51E5">
        <w:rPr>
          <w:b/>
          <w:bCs/>
          <w:vertAlign w:val="subscript"/>
        </w:rPr>
        <w:t>c</w:t>
      </w:r>
      <w:r w:rsidR="001A51E5">
        <w:rPr>
          <w:b/>
          <w:bCs/>
        </w:rPr>
        <w:t>=713 MHz.</w:t>
      </w:r>
    </w:p>
    <w:p w14:paraId="3F663283" w14:textId="7CFF6709" w:rsidR="00F0151C" w:rsidRDefault="00F0151C" w:rsidP="00F0151C">
      <w:pPr>
        <w:rPr>
          <w:lang w:val="sv-SE"/>
        </w:rPr>
      </w:pPr>
    </w:p>
    <w:p w14:paraId="6F9537FA" w14:textId="7E18DBDE" w:rsidR="00F0151C" w:rsidRDefault="0037344A" w:rsidP="00F0151C">
      <w:pPr>
        <w:rPr>
          <w:lang w:val="sv-SE"/>
        </w:rPr>
      </w:pPr>
      <w:r>
        <w:rPr>
          <w:lang w:val="sv-SE"/>
        </w:rPr>
        <w:t xml:space="preserve">For 40 MHz CBW we only simulate the fixed position of Fc=723 MHz according to the </w:t>
      </w:r>
      <w:r w:rsidR="001F6E5B">
        <w:rPr>
          <w:lang w:val="sv-SE"/>
        </w:rPr>
        <w:t>WID</w:t>
      </w:r>
      <w:r>
        <w:rPr>
          <w:lang w:val="sv-SE"/>
        </w:rPr>
        <w:t xml:space="preserve"> [</w:t>
      </w:r>
      <w:r w:rsidR="00F61299">
        <w:rPr>
          <w:lang w:val="sv-SE"/>
        </w:rPr>
        <w:t>2</w:t>
      </w:r>
      <w:r>
        <w:rPr>
          <w:lang w:val="sv-SE"/>
        </w:rPr>
        <w:t xml:space="preserve">]. In Figure 3 we present the A-MPR triangles for QPSK modulation and 15 kHz SCS. </w:t>
      </w:r>
      <w:r w:rsidR="00806E81">
        <w:rPr>
          <w:lang w:val="sv-SE"/>
        </w:rPr>
        <w:t>At the lower left corner of the triangles there is no A-MPR needed because the IMD components fall below the mask</w:t>
      </w:r>
      <w:r w:rsidR="00351921">
        <w:rPr>
          <w:lang w:val="sv-SE"/>
        </w:rPr>
        <w:t xml:space="preserve"> that is only 6 MHz wide</w:t>
      </w:r>
      <w:r w:rsidR="00806E81">
        <w:rPr>
          <w:lang w:val="sv-SE"/>
        </w:rPr>
        <w:t xml:space="preserve">. </w:t>
      </w:r>
      <w:r w:rsidR="00035527">
        <w:rPr>
          <w:lang w:val="sv-SE"/>
        </w:rPr>
        <w:t>The two ”legs” seen at small L</w:t>
      </w:r>
      <w:r w:rsidR="00035527" w:rsidRPr="00035527">
        <w:rPr>
          <w:vertAlign w:val="subscript"/>
          <w:lang w:val="sv-SE"/>
        </w:rPr>
        <w:t>CRB</w:t>
      </w:r>
      <w:r w:rsidR="00035527">
        <w:rPr>
          <w:lang w:val="sv-SE"/>
        </w:rPr>
        <w:t xml:space="preserve"> are due to allocation</w:t>
      </w:r>
      <w:r w:rsidR="00395856">
        <w:rPr>
          <w:lang w:val="sv-SE"/>
        </w:rPr>
        <w:t>-carrier</w:t>
      </w:r>
      <w:r w:rsidR="00035527">
        <w:rPr>
          <w:lang w:val="sv-SE"/>
        </w:rPr>
        <w:t xml:space="preserve"> and allocation</w:t>
      </w:r>
      <w:r w:rsidR="00395856">
        <w:rPr>
          <w:lang w:val="sv-SE"/>
        </w:rPr>
        <w:t>-image</w:t>
      </w:r>
      <w:r w:rsidR="00035527">
        <w:rPr>
          <w:lang w:val="sv-SE"/>
        </w:rPr>
        <w:t xml:space="preserve"> IMDs. </w:t>
      </w:r>
    </w:p>
    <w:p w14:paraId="1F674F72" w14:textId="0F551E51" w:rsidR="001A51E5" w:rsidRDefault="001A51E5" w:rsidP="00F0151C">
      <w:pPr>
        <w:rPr>
          <w:lang w:val="sv-SE"/>
        </w:rPr>
      </w:pPr>
      <w:r w:rsidRPr="009408AA">
        <w:rPr>
          <w:b/>
          <w:bCs/>
          <w:noProof/>
        </w:rPr>
        <mc:AlternateContent>
          <mc:Choice Requires="wps">
            <w:drawing>
              <wp:anchor distT="0" distB="0" distL="114300" distR="114300" simplePos="0" relativeHeight="251662336" behindDoc="0" locked="0" layoutInCell="1" allowOverlap="1" wp14:anchorId="0D1CD120" wp14:editId="6FE728A3">
                <wp:simplePos x="0" y="0"/>
                <wp:positionH relativeFrom="margin">
                  <wp:posOffset>2546985</wp:posOffset>
                </wp:positionH>
                <wp:positionV relativeFrom="paragraph">
                  <wp:posOffset>1908810</wp:posOffset>
                </wp:positionV>
                <wp:extent cx="895350" cy="247650"/>
                <wp:effectExtent l="0" t="0" r="0" b="0"/>
                <wp:wrapNone/>
                <wp:docPr id="427995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17D845BD" w14:textId="77777777" w:rsidR="001A51E5" w:rsidRPr="009408AA" w:rsidRDefault="001A51E5" w:rsidP="001A51E5">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D1CD120" id="_x0000_s1028" type="#_x0000_t202" style="position:absolute;margin-left:200.55pt;margin-top:150.3pt;width:70.5pt;height:19.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NOiDgIAAPwDAAAOAAAAZHJzL2Uyb0RvYy54bWysU9tu2zAMfR+wfxD0vjjJkrYx4hRdugwD&#10;ugvQ7QNkWY6FyaJGKbGzry8lu2m2vQ3Tg0CK1BF5eLS+7VvDjgq9Blvw2WTKmbISKm33Bf/+bffm&#10;hjMfhK2EAasKflKe325ev1p3LldzaMBUChmBWJ93ruBNCC7PMi8b1Qo/AacsBWvAVgRycZ9VKDpC&#10;b002n06vsg6wcghSeU+n90OQbxJ+XSsZvtS1V4GZglNtIe2Y9jLu2WYt8j0K12g5liH+oYpWaEuP&#10;nqHuRRDsgPovqFZLBA91mEhoM6hrLVXqgbqZTf/o5rERTqVeiBzvzjT5/wcrPx8f3VdkoX8HPQ0w&#10;NeHdA8gfnlnYNsLu1R0idI0SFT08i5RlnfP5eDVS7XMfQcruE1Q0ZHEIkID6GtvICvXJCJ0GcDqT&#10;rvrAJB3erJZvlxSRFJovrq/Iji+I/PmyQx8+KGhZNAqONNMELo4PPgypzynxLQ9GVzttTHJwX24N&#10;sqOg+e/SGtF/SzOWdQVfLefLhGwh3k/SaHUgfRrdUqHTuAbFRDLe2yqlBKHNYFPRxo7sREIGakJf&#10;9kxX1F28G8kqoToRXQiDHOn7kNEA/uKsIykW3P88CFScmY+WKF/NFouo3eQsltdzcvAyUl5GhJUE&#10;VfDA2WBuQ9J7pMPCHY2m1om2l0rGkkliifjxO0QNX/op6+XTbp4AAAD//wMAUEsDBBQABgAIAAAA&#10;IQC6U2cF3QAAAAsBAAAPAAAAZHJzL2Rvd25yZXYueG1sTI/PToNAEMbvJr7DZky8GLvQUmqRpVET&#10;jdfWPsAAUyCys4TdFvr2jic9zje/fH/y3Wx7daHRd44NxIsIFHHl6o4bA8ev98cnUD4g19g7JgNX&#10;8rArbm9yzGo38Z4uh9AoMWGfoYE2hCHT2lctWfQLNxDL7+RGi0HOsdH1iJOY214voyjVFjuWhBYH&#10;emup+j6crYHT5/Sw3k7lRzhu9kn6it2mdFdj7u/ml2dQgebwB8NvfakOhXQq3Zlrr3oDSRTHghpY&#10;SQwoIdbJUpRSlNU2BV3k+v+G4gcAAP//AwBQSwECLQAUAAYACAAAACEAtoM4kv4AAADhAQAAEwAA&#10;AAAAAAAAAAAAAAAAAAAAW0NvbnRlbnRfVHlwZXNdLnhtbFBLAQItABQABgAIAAAAIQA4/SH/1gAA&#10;AJQBAAALAAAAAAAAAAAAAAAAAC8BAABfcmVscy8ucmVsc1BLAQItABQABgAIAAAAIQCqxNOiDgIA&#10;APwDAAAOAAAAAAAAAAAAAAAAAC4CAABkcnMvZTJvRG9jLnhtbFBLAQItABQABgAIAAAAIQC6U2cF&#10;3QAAAAsBAAAPAAAAAAAAAAAAAAAAAGgEAABkcnMvZG93bnJldi54bWxQSwUGAAAAAAQABADzAAAA&#10;cgUAAAAA&#10;" stroked="f">
                <v:textbox>
                  <w:txbxContent>
                    <w:p w14:paraId="17D845BD" w14:textId="77777777" w:rsidR="001A51E5" w:rsidRPr="009408AA" w:rsidRDefault="001A51E5" w:rsidP="001A51E5">
                      <w:pPr>
                        <w:rPr>
                          <w:lang w:val="en-US"/>
                        </w:rPr>
                      </w:pPr>
                      <w:r w:rsidRPr="009408AA">
                        <w:rPr>
                          <w:lang w:val="en-US"/>
                        </w:rPr>
                        <w:t>Fc=723 MHz</w:t>
                      </w:r>
                    </w:p>
                  </w:txbxContent>
                </v:textbox>
                <w10:wrap anchorx="margin"/>
              </v:shape>
            </w:pict>
          </mc:Fallback>
        </mc:AlternateContent>
      </w:r>
      <w:r>
        <w:rPr>
          <w:noProof/>
        </w:rPr>
        <w:drawing>
          <wp:inline distT="0" distB="0" distL="0" distR="0" wp14:anchorId="145C4A56" wp14:editId="7E01868C">
            <wp:extent cx="2996190" cy="2246381"/>
            <wp:effectExtent l="0" t="0" r="0" b="1905"/>
            <wp:docPr id="1360372506" name="Picture 7" descr="A graph of different colors&#10;&#10;Description automatically generated"/>
            <wp:cNvGraphicFramePr/>
            <a:graphic xmlns:a="http://schemas.openxmlformats.org/drawingml/2006/main">
              <a:graphicData uri="http://schemas.openxmlformats.org/drawingml/2006/picture">
                <pic:pic xmlns:pic="http://schemas.openxmlformats.org/drawingml/2006/picture">
                  <pic:nvPicPr>
                    <pic:cNvPr id="1360372506" name="Picture 7" descr="A graph of different colo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1B76C88" wp14:editId="20A49A4C">
            <wp:extent cx="2996190" cy="2246381"/>
            <wp:effectExtent l="0" t="0" r="0" b="1905"/>
            <wp:docPr id="1731569790"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731569790" name="Picture 8" descr="A graph with different colored lin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BE798A3" w14:textId="4798C55A" w:rsidR="001A51E5" w:rsidRDefault="001A51E5" w:rsidP="001A51E5">
      <w:pPr>
        <w:rPr>
          <w:lang w:val="sv-SE"/>
        </w:rPr>
      </w:pPr>
      <w:r w:rsidRPr="00076746">
        <w:rPr>
          <w:b/>
          <w:bCs/>
        </w:rPr>
        <w:t xml:space="preserve">Figure </w:t>
      </w:r>
      <w:r w:rsidR="00FC1E8B">
        <w:rPr>
          <w:b/>
          <w:bCs/>
        </w:rPr>
        <w:t>3</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=723 MHz.</w:t>
      </w:r>
      <w:r w:rsidR="00856B39">
        <w:rPr>
          <w:b/>
          <w:bCs/>
        </w:rPr>
        <w:t xml:space="preserve"> Power class </w:t>
      </w:r>
      <w:r w:rsidR="00CD48FF">
        <w:rPr>
          <w:b/>
          <w:bCs/>
        </w:rPr>
        <w:t xml:space="preserve">is </w:t>
      </w:r>
      <w:r w:rsidR="00856B39">
        <w:rPr>
          <w:b/>
          <w:bCs/>
        </w:rPr>
        <w:t>PC2.</w:t>
      </w:r>
    </w:p>
    <w:p w14:paraId="175B3247" w14:textId="097A2F31" w:rsidR="001A51E5" w:rsidRPr="00275429" w:rsidRDefault="00275429" w:rsidP="00F0151C">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required for CBWs of 5 MHz and larger.</w:t>
      </w:r>
    </w:p>
    <w:p w14:paraId="3044FAEE" w14:textId="77777777" w:rsidR="00D53CEF" w:rsidRDefault="00D53CEF" w:rsidP="00DB302B"/>
    <w:p w14:paraId="04ACEF5F" w14:textId="29CEF208" w:rsidR="00DB302B" w:rsidRDefault="00DB302B" w:rsidP="00DB302B">
      <w:pPr>
        <w:pStyle w:val="Heading2"/>
      </w:pPr>
      <w:r>
        <w:t>3.2</w:t>
      </w:r>
      <w:r>
        <w:tab/>
        <w:t>PC3</w:t>
      </w:r>
      <w:r w:rsidR="00A76BB0">
        <w:t xml:space="preserve"> NS_18</w:t>
      </w:r>
    </w:p>
    <w:p w14:paraId="086F1721" w14:textId="64FA38B2" w:rsidR="00A46001" w:rsidRDefault="00F7033B" w:rsidP="00C8539D">
      <w:pPr>
        <w:rPr>
          <w:lang w:val="sv-SE"/>
        </w:rPr>
      </w:pPr>
      <w:r>
        <w:rPr>
          <w:lang w:eastAsia="zh-CN"/>
        </w:rPr>
        <w:t>For PC3 w</w:t>
      </w:r>
      <w:r w:rsidR="00351825">
        <w:rPr>
          <w:lang w:eastAsia="zh-CN"/>
        </w:rPr>
        <w:t xml:space="preserve">e only simulate the 40 MHz CBW since the A-MPR for lower CBWs has already been specified. </w:t>
      </w:r>
      <w:r w:rsidR="00FC1E8B">
        <w:rPr>
          <w:lang w:eastAsia="zh-CN"/>
        </w:rPr>
        <w:t>In Figure 4 we present</w:t>
      </w:r>
      <w:r w:rsidR="00351825">
        <w:rPr>
          <w:lang w:eastAsia="zh-CN"/>
        </w:rPr>
        <w:t xml:space="preserve"> </w:t>
      </w:r>
      <w:r w:rsidR="00FC1E8B">
        <w:rPr>
          <w:lang w:val="sv-SE"/>
        </w:rPr>
        <w:t>the A-MPR triangles for QPSK modulation and 15 kHz SCS at F</w:t>
      </w:r>
      <w:r w:rsidR="00FC1E8B" w:rsidRPr="00FC1E8B">
        <w:rPr>
          <w:vertAlign w:val="subscript"/>
          <w:lang w:val="sv-SE"/>
        </w:rPr>
        <w:t>c</w:t>
      </w:r>
      <w:r w:rsidR="00FC1E8B">
        <w:rPr>
          <w:lang w:val="sv-SE"/>
        </w:rPr>
        <w:t xml:space="preserve"> =723 MHz.</w:t>
      </w:r>
      <w:r w:rsidR="00951833">
        <w:rPr>
          <w:lang w:val="sv-SE"/>
        </w:rPr>
        <w:t xml:space="preserve"> The A-MPR regions are very similar to PC2</w:t>
      </w:r>
      <w:r>
        <w:rPr>
          <w:lang w:val="sv-SE"/>
        </w:rPr>
        <w:t>,</w:t>
      </w:r>
      <w:r w:rsidR="00951833">
        <w:rPr>
          <w:lang w:val="sv-SE"/>
        </w:rPr>
        <w:t xml:space="preserve"> but the backoff values are smaller</w:t>
      </w:r>
      <w:r>
        <w:rPr>
          <w:lang w:val="sv-SE"/>
        </w:rPr>
        <w:t>.</w:t>
      </w:r>
    </w:p>
    <w:p w14:paraId="426190AC" w14:textId="0879251E" w:rsidR="00FC1E8B" w:rsidRDefault="00FC1E8B" w:rsidP="00C8539D">
      <w:r w:rsidRPr="009408AA">
        <w:rPr>
          <w:b/>
          <w:bCs/>
          <w:noProof/>
        </w:rPr>
        <w:lastRenderedPageBreak/>
        <mc:AlternateContent>
          <mc:Choice Requires="wps">
            <w:drawing>
              <wp:anchor distT="0" distB="0" distL="114300" distR="114300" simplePos="0" relativeHeight="251664384" behindDoc="0" locked="0" layoutInCell="1" allowOverlap="1" wp14:anchorId="793FE8FB" wp14:editId="46AF771D">
                <wp:simplePos x="0" y="0"/>
                <wp:positionH relativeFrom="margin">
                  <wp:posOffset>2533650</wp:posOffset>
                </wp:positionH>
                <wp:positionV relativeFrom="paragraph">
                  <wp:posOffset>1910715</wp:posOffset>
                </wp:positionV>
                <wp:extent cx="895350" cy="247650"/>
                <wp:effectExtent l="0" t="0" r="0" b="0"/>
                <wp:wrapNone/>
                <wp:docPr id="133270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47650"/>
                        </a:xfrm>
                        <a:prstGeom prst="rect">
                          <a:avLst/>
                        </a:prstGeom>
                        <a:solidFill>
                          <a:srgbClr val="FFFFFF"/>
                        </a:solidFill>
                        <a:ln w="9525">
                          <a:noFill/>
                          <a:miter lim="800000"/>
                          <a:headEnd/>
                          <a:tailEnd/>
                        </a:ln>
                      </wps:spPr>
                      <wps:txbx>
                        <w:txbxContent>
                          <w:p w14:paraId="050578A4" w14:textId="77777777" w:rsidR="00FC1E8B" w:rsidRPr="009408AA" w:rsidRDefault="00FC1E8B" w:rsidP="00FC1E8B">
                            <w:pPr>
                              <w:rPr>
                                <w:lang w:val="en-US"/>
                              </w:rPr>
                            </w:pPr>
                            <w:r w:rsidRPr="009408AA">
                              <w:rPr>
                                <w:lang w:val="en-US"/>
                              </w:rPr>
                              <w:t>Fc=723 MHz</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93FE8FB" id="_x0000_s1029" type="#_x0000_t202" style="position:absolute;margin-left:199.5pt;margin-top:150.45pt;width:70.5pt;height:19.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71UDwIAAPwDAAAOAAAAZHJzL2Uyb0RvYy54bWysU9tu2zAMfR+wfxD0vjhJk7Yx4hRdugwD&#10;ugvQ7QNkWY6FyaJGKbGzrx8lu2m2vQ3Tg0CK1BF5eLS+61vDjgq9Blvw2WTKmbISKm33Bf/2dffm&#10;ljMfhK2EAasKflKe321ev1p3LldzaMBUChmBWJ93ruBNCC7PMi8b1Qo/AacsBWvAVgRycZ9VKDpC&#10;b002n06vsw6wcghSeU+nD0OQbxJ+XSsZPte1V4GZglNtIe2Y9jLu2WYt8j0K12g5liH+oYpWaEuP&#10;nqEeRBDsgPovqFZLBA91mEhoM6hrLVXqgbqZTf/o5qkRTqVeiBzvzjT5/wcrPx2f3BdkoX8LPQ0w&#10;NeHdI8jvnlnYNsLu1T0idI0SFT08i5RlnfP5eDVS7XMfQcruI1Q0ZHEIkID6GtvICvXJCJ0GcDqT&#10;rvrAJB3erpZXS4pICs0XN9dkxxdE/nzZoQ/vFbQsGgVHmmkCF8dHH4bU55T4lgejq502Jjm4L7cG&#10;2VHQ/Hdpjei/pRnLuoKvlvNlQrYQ7ydptDqQPo1uqdBpXINiIhnvbJVSgtBmsKloY0d2IiEDNaEv&#10;e6argl/Fu5GsEqoT0YUwyJG+DxkN4E/OOpJiwf2Pg0DFmflgifLVbLGI2k3OYnkzJwcvI+VlRFhJ&#10;UAUPnA3mNiS9Rzos3NNoap1oe6lkLJkklogfv0PU8KWfsl4+7eYXAAAA//8DAFBLAwQUAAYACAAA&#10;ACEAP88Q+twAAAALAQAADwAAAGRycy9kb3ducmV2LnhtbExPy07DMBC8I/EP1iJxQdQG+iBpnAqQ&#10;QFxb+gGbZJtEjddR7Dbp37Oc6G3nodmZbDO5Tp1pCK1nC08zA4q49FXLtYX9z+fjK6gQkSvsPJOF&#10;CwXY5Lc3GaaVH3lL512slYRwSNFCE2Ofah3KhhyGme+JRTv4wWEUONS6GnCUcNfpZ2OW2mHL8qHB&#10;nj4aKo+7k7Nw+B4fFslYfMX9ajtfvmO7KvzF2vu76W0NKtIU/83wV1+qQy6dCn/iKqjOwkuSyJYo&#10;hzEJKHEs5kaYQhjRQOeZvt6Q/wIAAP//AwBQSwECLQAUAAYACAAAACEAtoM4kv4AAADhAQAAEwAA&#10;AAAAAAAAAAAAAAAAAAAAW0NvbnRlbnRfVHlwZXNdLnhtbFBLAQItABQABgAIAAAAIQA4/SH/1gAA&#10;AJQBAAALAAAAAAAAAAAAAAAAAC8BAABfcmVscy8ucmVsc1BLAQItABQABgAIAAAAIQB4c71UDwIA&#10;APwDAAAOAAAAAAAAAAAAAAAAAC4CAABkcnMvZTJvRG9jLnhtbFBLAQItABQABgAIAAAAIQA/zxD6&#10;3AAAAAsBAAAPAAAAAAAAAAAAAAAAAGkEAABkcnMvZG93bnJldi54bWxQSwUGAAAAAAQABADzAAAA&#10;cgUAAAAA&#10;" stroked="f">
                <v:textbox>
                  <w:txbxContent>
                    <w:p w14:paraId="050578A4" w14:textId="77777777" w:rsidR="00FC1E8B" w:rsidRPr="009408AA" w:rsidRDefault="00FC1E8B" w:rsidP="00FC1E8B">
                      <w:pPr>
                        <w:rPr>
                          <w:lang w:val="en-US"/>
                        </w:rPr>
                      </w:pPr>
                      <w:r w:rsidRPr="009408AA">
                        <w:rPr>
                          <w:lang w:val="en-US"/>
                        </w:rPr>
                        <w:t>Fc=723 MHz</w:t>
                      </w:r>
                    </w:p>
                  </w:txbxContent>
                </v:textbox>
                <w10:wrap anchorx="margin"/>
              </v:shape>
            </w:pict>
          </mc:Fallback>
        </mc:AlternateContent>
      </w:r>
      <w:r>
        <w:rPr>
          <w:noProof/>
        </w:rPr>
        <w:drawing>
          <wp:inline distT="0" distB="0" distL="0" distR="0" wp14:anchorId="1BD61236" wp14:editId="073E59A3">
            <wp:extent cx="2996190" cy="2246381"/>
            <wp:effectExtent l="0" t="0" r="0" b="1905"/>
            <wp:docPr id="1053552691" name="Picture 7" descr="A graph with different colored lin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3552691" name="Picture 7" descr="A graph with different colored line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F86BBDB" wp14:editId="7A3EF19C">
            <wp:extent cx="2996190" cy="2246381"/>
            <wp:effectExtent l="0" t="0" r="0" b="1905"/>
            <wp:docPr id="967305569"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967305569" name="Picture 8" descr="A graph with different colored line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C3B415A" w14:textId="06DB784B" w:rsidR="00FC1E8B" w:rsidRDefault="00FC1E8B" w:rsidP="00FC1E8B">
      <w:pPr>
        <w:rPr>
          <w:lang w:val="sv-SE"/>
        </w:rPr>
      </w:pPr>
      <w:r w:rsidRPr="00076746">
        <w:rPr>
          <w:b/>
          <w:bCs/>
        </w:rPr>
        <w:t xml:space="preserve">Figure </w:t>
      </w:r>
      <w:r>
        <w:rPr>
          <w:b/>
          <w:bCs/>
        </w:rPr>
        <w:t>4</w:t>
      </w:r>
      <w:r w:rsidRPr="00076746">
        <w:rPr>
          <w:b/>
          <w:bCs/>
        </w:rPr>
        <w:t>:</w:t>
      </w:r>
      <w:r>
        <w:rPr>
          <w:b/>
          <w:bCs/>
        </w:rPr>
        <w:t xml:space="preserve"> Examples of the simulated backoff to satisfy the NS_18 additional spurious emission limit for 40 MHz CBW at F</w:t>
      </w:r>
      <w:r w:rsidRPr="001A51E5">
        <w:rPr>
          <w:b/>
          <w:bCs/>
          <w:vertAlign w:val="subscript"/>
        </w:rPr>
        <w:t>c</w:t>
      </w:r>
      <w:r>
        <w:rPr>
          <w:b/>
          <w:bCs/>
        </w:rPr>
        <w:t>=723 MHz.</w:t>
      </w:r>
      <w:r w:rsidR="00856B39">
        <w:rPr>
          <w:b/>
          <w:bCs/>
        </w:rPr>
        <w:t xml:space="preserve"> Power class </w:t>
      </w:r>
      <w:r w:rsidR="00CD48FF">
        <w:rPr>
          <w:b/>
          <w:bCs/>
        </w:rPr>
        <w:t xml:space="preserve">is </w:t>
      </w:r>
      <w:r w:rsidR="00856B39">
        <w:rPr>
          <w:b/>
          <w:bCs/>
        </w:rPr>
        <w:t>PC3.</w:t>
      </w:r>
    </w:p>
    <w:p w14:paraId="011E1602" w14:textId="3A51DCDC" w:rsidR="00FC1E8B" w:rsidRPr="00275429" w:rsidRDefault="00275429" w:rsidP="00C8539D">
      <w:pPr>
        <w:rPr>
          <w:b/>
          <w:bCs/>
          <w:lang w:val="sv-SE"/>
        </w:rPr>
      </w:pPr>
      <w:r w:rsidRPr="00275429">
        <w:rPr>
          <w:b/>
          <w:bCs/>
          <w:lang w:val="sv-SE"/>
        </w:rPr>
        <w:t xml:space="preserve">Observation </w:t>
      </w:r>
      <w:r w:rsidR="00D40A11">
        <w:rPr>
          <w:b/>
          <w:bCs/>
          <w:lang w:val="sv-SE"/>
        </w:rPr>
        <w:t>3</w:t>
      </w:r>
      <w:r w:rsidRPr="00275429">
        <w:rPr>
          <w:b/>
          <w:bCs/>
          <w:lang w:val="sv-SE"/>
        </w:rPr>
        <w:t>: For PC3</w:t>
      </w:r>
      <w:r>
        <w:rPr>
          <w:b/>
          <w:bCs/>
          <w:lang w:val="sv-SE"/>
        </w:rPr>
        <w:t xml:space="preserve"> and NS_18</w:t>
      </w:r>
      <w:r w:rsidRPr="00275429">
        <w:rPr>
          <w:b/>
          <w:bCs/>
          <w:lang w:val="sv-SE"/>
        </w:rPr>
        <w:t xml:space="preserve"> A-MPR is required for 40 MHz CBW. </w:t>
      </w:r>
    </w:p>
    <w:p w14:paraId="28D6F1C8" w14:textId="77777777" w:rsidR="0073496C" w:rsidRDefault="00A46001" w:rsidP="0073496C">
      <w:pPr>
        <w:pStyle w:val="Heading1"/>
      </w:pPr>
      <w:r>
        <w:t>4</w:t>
      </w:r>
      <w:r w:rsidR="0073496C">
        <w:tab/>
        <w:t>Conclusion</w:t>
      </w:r>
      <w:r w:rsidR="00F1354A">
        <w:t>s</w:t>
      </w:r>
    </w:p>
    <w:p w14:paraId="59064040" w14:textId="1EE3CB73" w:rsidR="00C8539D" w:rsidRDefault="00275429" w:rsidP="00C8539D">
      <w:r>
        <w:t>We have simulated the A-MPR</w:t>
      </w:r>
      <w:r w:rsidR="00467DAB">
        <w:t xml:space="preserve"> for band n28 taking into account the additional emission requirements signaled through NS_17 and NS_18. Based on our simulations we have made the following observations.</w:t>
      </w:r>
    </w:p>
    <w:p w14:paraId="2400B2E7" w14:textId="77777777" w:rsidR="00467DAB" w:rsidRPr="00467DAB" w:rsidRDefault="00467DAB" w:rsidP="00467DAB">
      <w:pPr>
        <w:rPr>
          <w:b/>
          <w:bCs/>
          <w:lang w:val="sv-SE"/>
        </w:rPr>
      </w:pPr>
      <w:r w:rsidRPr="00467DAB">
        <w:rPr>
          <w:b/>
          <w:bCs/>
          <w:lang w:val="sv-SE"/>
        </w:rPr>
        <w:t>Observation 1: For PC2 and NS_17 A-MPR is required for 10 MHz CBW.</w:t>
      </w:r>
    </w:p>
    <w:p w14:paraId="17900022" w14:textId="77777777" w:rsidR="00467DAB" w:rsidRPr="00275429" w:rsidRDefault="00467DAB" w:rsidP="00467DAB">
      <w:pPr>
        <w:rPr>
          <w:b/>
          <w:bCs/>
          <w:lang w:val="sv-SE"/>
        </w:rPr>
      </w:pPr>
      <w:r w:rsidRPr="00275429">
        <w:rPr>
          <w:b/>
          <w:bCs/>
          <w:lang w:val="sv-SE"/>
        </w:rPr>
        <w:t xml:space="preserve">Observation </w:t>
      </w:r>
      <w:r>
        <w:rPr>
          <w:b/>
          <w:bCs/>
          <w:lang w:val="sv-SE"/>
        </w:rPr>
        <w:t>2</w:t>
      </w:r>
      <w:r w:rsidRPr="00275429">
        <w:rPr>
          <w:b/>
          <w:bCs/>
          <w:lang w:val="sv-SE"/>
        </w:rPr>
        <w:t>: For PC2</w:t>
      </w:r>
      <w:r>
        <w:rPr>
          <w:b/>
          <w:bCs/>
          <w:lang w:val="sv-SE"/>
        </w:rPr>
        <w:t xml:space="preserve"> and NS_18</w:t>
      </w:r>
      <w:r w:rsidRPr="00275429">
        <w:rPr>
          <w:b/>
          <w:bCs/>
          <w:lang w:val="sv-SE"/>
        </w:rPr>
        <w:t xml:space="preserve"> A-MPR is required for CBWs of 5 MHz and larger.</w:t>
      </w:r>
    </w:p>
    <w:p w14:paraId="20B6AD10" w14:textId="2BE73762" w:rsidR="00467DAB" w:rsidRPr="00467DAB" w:rsidRDefault="00467DAB" w:rsidP="00C8539D">
      <w:pPr>
        <w:rPr>
          <w:b/>
          <w:bCs/>
          <w:lang w:val="sv-SE"/>
        </w:rPr>
      </w:pPr>
      <w:r w:rsidRPr="00275429">
        <w:rPr>
          <w:b/>
          <w:bCs/>
          <w:lang w:val="sv-SE"/>
        </w:rPr>
        <w:t xml:space="preserve">Observation </w:t>
      </w:r>
      <w:r>
        <w:rPr>
          <w:b/>
          <w:bCs/>
          <w:lang w:val="sv-SE"/>
        </w:rPr>
        <w:t>3</w:t>
      </w:r>
      <w:r w:rsidRPr="00275429">
        <w:rPr>
          <w:b/>
          <w:bCs/>
          <w:lang w:val="sv-SE"/>
        </w:rPr>
        <w:t>: For PC3</w:t>
      </w:r>
      <w:r>
        <w:rPr>
          <w:b/>
          <w:bCs/>
          <w:lang w:val="sv-SE"/>
        </w:rPr>
        <w:t xml:space="preserve"> and NS_18</w:t>
      </w:r>
      <w:r w:rsidRPr="00275429">
        <w:rPr>
          <w:b/>
          <w:bCs/>
          <w:lang w:val="sv-SE"/>
        </w:rPr>
        <w:t xml:space="preserve"> A-MPR is required for 40 MHz CBW. </w:t>
      </w:r>
    </w:p>
    <w:p w14:paraId="5FDBB2BC" w14:textId="77777777" w:rsidR="00020F23" w:rsidRDefault="00A46001" w:rsidP="00020F23">
      <w:pPr>
        <w:pStyle w:val="Heading1"/>
      </w:pPr>
      <w:r>
        <w:t>5</w:t>
      </w:r>
      <w:r w:rsidR="00020F23">
        <w:tab/>
        <w:t>References</w:t>
      </w:r>
    </w:p>
    <w:p w14:paraId="45E08687" w14:textId="0E49710C" w:rsidR="00F61299" w:rsidRPr="001025B4" w:rsidRDefault="00F61299" w:rsidP="00F1354A">
      <w:r>
        <w:t>[1]</w:t>
      </w:r>
      <w:r w:rsidRPr="00020F23">
        <w:t xml:space="preserve"> </w:t>
      </w:r>
      <w:r w:rsidR="003C7876" w:rsidRPr="003C7876">
        <w:t>R4-2415567</w:t>
      </w:r>
      <w:r>
        <w:t xml:space="preserve">, </w:t>
      </w:r>
      <w:r w:rsidR="001025B4" w:rsidRPr="001025B4">
        <w:t>n28 NS_17 and NS_18 A-MPR proposals</w:t>
      </w:r>
      <w:r w:rsidR="00EA5EAF" w:rsidRPr="001025B4">
        <w:t>, Nokia</w:t>
      </w:r>
    </w:p>
    <w:p w14:paraId="5846AC87" w14:textId="12EC5A31" w:rsidR="00103568" w:rsidRPr="0008585F" w:rsidRDefault="00020F23" w:rsidP="00103568">
      <w:r>
        <w:t>[</w:t>
      </w:r>
      <w:r w:rsidR="00F61299">
        <w:t>2</w:t>
      </w:r>
      <w:r>
        <w:t>]</w:t>
      </w:r>
      <w:r w:rsidRPr="00020F23">
        <w:t xml:space="preserve"> </w:t>
      </w:r>
      <w:r w:rsidR="00410126" w:rsidRPr="00410126">
        <w:t>RP-241660</w:t>
      </w:r>
      <w:r>
        <w:t xml:space="preserve">, </w:t>
      </w:r>
      <w:r w:rsidR="00410126" w:rsidRPr="00410126">
        <w:t>New WID: Introduction of Power Class 2 and UE 40MHz Channel Bandwidth in NR band n28</w:t>
      </w:r>
    </w:p>
    <w:p w14:paraId="2A558D83" w14:textId="77777777" w:rsidR="00103568" w:rsidRDefault="00A46001" w:rsidP="009A4887">
      <w:pPr>
        <w:pStyle w:val="Heading1"/>
      </w:pPr>
      <w:r>
        <w:t>6</w:t>
      </w:r>
      <w:r w:rsidR="00103568">
        <w:tab/>
        <w:t>Appendix</w:t>
      </w:r>
    </w:p>
    <w:p w14:paraId="1DA9D78B" w14:textId="77777777" w:rsidR="002015BE" w:rsidRPr="00612119" w:rsidRDefault="002015BE" w:rsidP="002015BE">
      <w:r>
        <w:t xml:space="preserve">Here we present complete sets of A-MPR triangles for the center frequencies where A-MPR is needed at the interval of 10 MHz. Note that for CBW≤30 MHz we have performed the simulations so that also the spectrum below the mask segment is compared to the mask limit. In this way it is easier to use the triangles to form A-MPR specifications that are valid in a frequency range instead of a fixed center frequency. </w:t>
      </w:r>
    </w:p>
    <w:p w14:paraId="17BEC032" w14:textId="77777777" w:rsidR="002015BE" w:rsidRPr="00612119" w:rsidRDefault="002015BE" w:rsidP="002015BE">
      <w:pPr>
        <w:pStyle w:val="Heading2"/>
        <w:rPr>
          <w:lang w:val="fi-FI"/>
        </w:rPr>
      </w:pPr>
      <w:r>
        <w:rPr>
          <w:lang w:val="fi-FI"/>
        </w:rPr>
        <w:t>6</w:t>
      </w:r>
      <w:r w:rsidRPr="00612119">
        <w:rPr>
          <w:lang w:val="fi-FI"/>
        </w:rPr>
        <w:t>.</w:t>
      </w:r>
      <w:r>
        <w:rPr>
          <w:lang w:val="fi-FI"/>
        </w:rPr>
        <w:t>1</w:t>
      </w:r>
      <w:r w:rsidRPr="00612119">
        <w:rPr>
          <w:lang w:val="fi-FI"/>
        </w:rPr>
        <w:tab/>
        <w:t>PC2 N</w:t>
      </w:r>
      <w:r>
        <w:rPr>
          <w:lang w:val="fi-FI"/>
        </w:rPr>
        <w:t>S_17</w:t>
      </w:r>
    </w:p>
    <w:bookmarkStart w:id="5" w:name="_MON_1784383145"/>
    <w:bookmarkEnd w:id="5"/>
    <w:p w14:paraId="0BE009B2" w14:textId="77777777" w:rsidR="002015BE" w:rsidRPr="00612119" w:rsidRDefault="002015BE" w:rsidP="002015BE">
      <w:pPr>
        <w:rPr>
          <w:lang w:val="fi-FI"/>
        </w:rPr>
      </w:pPr>
      <w:r>
        <w:rPr>
          <w:lang w:val="fi-FI"/>
        </w:rPr>
        <w:object w:dxaOrig="1539" w:dyaOrig="997" w14:anchorId="440440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6" o:title=""/>
          </v:shape>
          <o:OLEObject Type="Embed" ProgID="Word.Document.12" ShapeID="_x0000_i1025" DrawAspect="Icon" ObjectID="_1789832436" r:id="rId17">
            <o:FieldCodes>\s</o:FieldCodes>
          </o:OLEObject>
        </w:object>
      </w:r>
    </w:p>
    <w:p w14:paraId="2CE0A8BD" w14:textId="77777777" w:rsidR="002015BE" w:rsidRPr="00612119" w:rsidRDefault="002015BE" w:rsidP="002015BE">
      <w:pPr>
        <w:pStyle w:val="Heading2"/>
        <w:rPr>
          <w:lang w:val="fi-FI"/>
        </w:rPr>
      </w:pPr>
      <w:r w:rsidRPr="00612119">
        <w:rPr>
          <w:lang w:val="fi-FI"/>
        </w:rPr>
        <w:lastRenderedPageBreak/>
        <w:t>6.2</w:t>
      </w:r>
      <w:r w:rsidRPr="00612119">
        <w:rPr>
          <w:lang w:val="fi-FI"/>
        </w:rPr>
        <w:tab/>
        <w:t>PC2 NS_18</w:t>
      </w:r>
    </w:p>
    <w:bookmarkStart w:id="6" w:name="_MON_1784380566"/>
    <w:bookmarkEnd w:id="6"/>
    <w:p w14:paraId="41B6218B" w14:textId="77777777" w:rsidR="002015BE" w:rsidRDefault="002015BE" w:rsidP="002015BE">
      <w:r>
        <w:object w:dxaOrig="1539" w:dyaOrig="997" w14:anchorId="7228DE41">
          <v:shape id="_x0000_i1026" type="#_x0000_t75" style="width:77.25pt;height:49.5pt" o:ole="">
            <v:imagedata r:id="rId18" o:title=""/>
          </v:shape>
          <o:OLEObject Type="Embed" ProgID="Word.Document.12" ShapeID="_x0000_i1026" DrawAspect="Icon" ObjectID="_1789832437" r:id="rId19">
            <o:FieldCodes>\s</o:FieldCodes>
          </o:OLEObject>
        </w:object>
      </w:r>
      <w:bookmarkStart w:id="7" w:name="_MON_1784380631"/>
      <w:bookmarkEnd w:id="7"/>
      <w:r>
        <w:object w:dxaOrig="1539" w:dyaOrig="997" w14:anchorId="24E34E17">
          <v:shape id="_x0000_i1027" type="#_x0000_t75" style="width:77.25pt;height:49.5pt" o:ole="">
            <v:imagedata r:id="rId20" o:title=""/>
          </v:shape>
          <o:OLEObject Type="Embed" ProgID="Word.Document.12" ShapeID="_x0000_i1027" DrawAspect="Icon" ObjectID="_1789832438" r:id="rId21">
            <o:FieldCodes>\s</o:FieldCodes>
          </o:OLEObject>
        </w:object>
      </w:r>
      <w:bookmarkStart w:id="8" w:name="_MON_1784380750"/>
      <w:bookmarkEnd w:id="8"/>
      <w:r>
        <w:object w:dxaOrig="1539" w:dyaOrig="997" w14:anchorId="3F37802D">
          <v:shape id="_x0000_i1028" type="#_x0000_t75" style="width:77.25pt;height:49.5pt" o:ole="">
            <v:imagedata r:id="rId22" o:title=""/>
          </v:shape>
          <o:OLEObject Type="Embed" ProgID="Word.Document.12" ShapeID="_x0000_i1028" DrawAspect="Icon" ObjectID="_1789832439" r:id="rId23">
            <o:FieldCodes>\s</o:FieldCodes>
          </o:OLEObject>
        </w:object>
      </w:r>
      <w:bookmarkStart w:id="9" w:name="_MON_1784380755"/>
      <w:bookmarkEnd w:id="9"/>
      <w:r>
        <w:object w:dxaOrig="1539" w:dyaOrig="997" w14:anchorId="4F3D248D">
          <v:shape id="_x0000_i1029" type="#_x0000_t75" style="width:77.25pt;height:49.5pt" o:ole="">
            <v:imagedata r:id="rId24" o:title=""/>
          </v:shape>
          <o:OLEObject Type="Embed" ProgID="Word.Document.12" ShapeID="_x0000_i1029" DrawAspect="Icon" ObjectID="_1789832440" r:id="rId25">
            <o:FieldCodes>\s</o:FieldCodes>
          </o:OLEObject>
        </w:object>
      </w:r>
      <w:bookmarkStart w:id="10" w:name="_MON_1784382133"/>
      <w:bookmarkEnd w:id="10"/>
      <w:r>
        <w:object w:dxaOrig="1539" w:dyaOrig="997" w14:anchorId="77B005C4">
          <v:shape id="_x0000_i1030" type="#_x0000_t75" style="width:77.25pt;height:49.5pt" o:ole="">
            <v:imagedata r:id="rId26" o:title=""/>
          </v:shape>
          <o:OLEObject Type="Embed" ProgID="Word.Document.12" ShapeID="_x0000_i1030" DrawAspect="Icon" ObjectID="_1789832441" r:id="rId27">
            <o:FieldCodes>\s</o:FieldCodes>
          </o:OLEObject>
        </w:object>
      </w:r>
      <w:bookmarkStart w:id="11" w:name="_MON_1784382138"/>
      <w:bookmarkEnd w:id="11"/>
      <w:r>
        <w:object w:dxaOrig="1539" w:dyaOrig="997" w14:anchorId="36DA3A86">
          <v:shape id="_x0000_i1031" type="#_x0000_t75" style="width:77.25pt;height:49.5pt" o:ole="">
            <v:imagedata r:id="rId28" o:title=""/>
          </v:shape>
          <o:OLEObject Type="Embed" ProgID="Word.Document.12" ShapeID="_x0000_i1031" DrawAspect="Icon" ObjectID="_1789832442" r:id="rId29">
            <o:FieldCodes>\s</o:FieldCodes>
          </o:OLEObject>
        </w:object>
      </w:r>
      <w:bookmarkStart w:id="12" w:name="_MON_1784382200"/>
      <w:bookmarkEnd w:id="12"/>
      <w:r>
        <w:object w:dxaOrig="1539" w:dyaOrig="997" w14:anchorId="6D03E624">
          <v:shape id="_x0000_i1032" type="#_x0000_t75" style="width:77.25pt;height:49.5pt" o:ole="">
            <v:imagedata r:id="rId30" o:title=""/>
          </v:shape>
          <o:OLEObject Type="Embed" ProgID="Word.Document.12" ShapeID="_x0000_i1032" DrawAspect="Icon" ObjectID="_1789832443" r:id="rId31">
            <o:FieldCodes>\s</o:FieldCodes>
          </o:OLEObject>
        </w:object>
      </w:r>
      <w:bookmarkStart w:id="13" w:name="_MON_1784382503"/>
      <w:bookmarkEnd w:id="13"/>
      <w:r>
        <w:object w:dxaOrig="1539" w:dyaOrig="997" w14:anchorId="49A0ED83">
          <v:shape id="_x0000_i1033" type="#_x0000_t75" style="width:77.25pt;height:49.5pt" o:ole="">
            <v:imagedata r:id="rId32" o:title=""/>
          </v:shape>
          <o:OLEObject Type="Embed" ProgID="Word.Document.12" ShapeID="_x0000_i1033" DrawAspect="Icon" ObjectID="_1789832444" r:id="rId33">
            <o:FieldCodes>\s</o:FieldCodes>
          </o:OLEObject>
        </w:object>
      </w:r>
      <w:bookmarkStart w:id="14" w:name="_MON_1784382510"/>
      <w:bookmarkEnd w:id="14"/>
      <w:r>
        <w:object w:dxaOrig="1539" w:dyaOrig="997" w14:anchorId="3DC48CF0">
          <v:shape id="_x0000_i1034" type="#_x0000_t75" style="width:77.25pt;height:49.5pt" o:ole="">
            <v:imagedata r:id="rId34" o:title=""/>
          </v:shape>
          <o:OLEObject Type="Embed" ProgID="Word.Document.12" ShapeID="_x0000_i1034" DrawAspect="Icon" ObjectID="_1789832445" r:id="rId35">
            <o:FieldCodes>\s</o:FieldCodes>
          </o:OLEObject>
        </w:object>
      </w:r>
      <w:bookmarkStart w:id="15" w:name="_MON_1784382515"/>
      <w:bookmarkEnd w:id="15"/>
      <w:r>
        <w:object w:dxaOrig="1539" w:dyaOrig="997" w14:anchorId="385F9E91">
          <v:shape id="_x0000_i1035" type="#_x0000_t75" style="width:77.25pt;height:49.5pt" o:ole="">
            <v:imagedata r:id="rId36" o:title=""/>
          </v:shape>
          <o:OLEObject Type="Embed" ProgID="Word.Document.12" ShapeID="_x0000_i1035" DrawAspect="Icon" ObjectID="_1789832446" r:id="rId37">
            <o:FieldCodes>\s</o:FieldCodes>
          </o:OLEObject>
        </w:object>
      </w:r>
      <w:bookmarkStart w:id="16" w:name="_MON_1784382583"/>
      <w:bookmarkEnd w:id="16"/>
      <w:r>
        <w:object w:dxaOrig="1539" w:dyaOrig="997" w14:anchorId="4752F02D">
          <v:shape id="_x0000_i1036" type="#_x0000_t75" style="width:77.25pt;height:49.5pt" o:ole="">
            <v:imagedata r:id="rId38" o:title=""/>
          </v:shape>
          <o:OLEObject Type="Embed" ProgID="Word.Document.12" ShapeID="_x0000_i1036" DrawAspect="Icon" ObjectID="_1789832447" r:id="rId39">
            <o:FieldCodes>\s</o:FieldCodes>
          </o:OLEObject>
        </w:object>
      </w:r>
      <w:bookmarkStart w:id="17" w:name="_MON_1784382589"/>
      <w:bookmarkEnd w:id="17"/>
      <w:r>
        <w:object w:dxaOrig="1539" w:dyaOrig="997" w14:anchorId="53D4BD79">
          <v:shape id="_x0000_i1037" type="#_x0000_t75" style="width:77.25pt;height:49.5pt" o:ole="">
            <v:imagedata r:id="rId40" o:title=""/>
          </v:shape>
          <o:OLEObject Type="Embed" ProgID="Word.Document.12" ShapeID="_x0000_i1037" DrawAspect="Icon" ObjectID="_1789832448" r:id="rId41">
            <o:FieldCodes>\s</o:FieldCodes>
          </o:OLEObject>
        </w:object>
      </w:r>
      <w:r w:rsidRPr="00005FE2">
        <w:t xml:space="preserve"> </w:t>
      </w:r>
      <w:r>
        <w:object w:dxaOrig="1539" w:dyaOrig="997" w14:anchorId="23759D9B">
          <v:shape id="_x0000_i1038" type="#_x0000_t75" style="width:77.25pt;height:49.5pt" o:ole="">
            <v:imagedata r:id="rId42" o:title=""/>
          </v:shape>
          <o:OLEObject Type="Embed" ProgID="Word.Document.12" ShapeID="_x0000_i1038" DrawAspect="Icon" ObjectID="_1789832449" r:id="rId43">
            <o:FieldCodes>\s</o:FieldCodes>
          </o:OLEObject>
        </w:object>
      </w:r>
    </w:p>
    <w:p w14:paraId="0331A4E5" w14:textId="77777777" w:rsidR="002015BE" w:rsidRDefault="002015BE" w:rsidP="002015BE">
      <w:pPr>
        <w:pStyle w:val="Heading2"/>
      </w:pPr>
      <w:r>
        <w:t>6.3</w:t>
      </w:r>
      <w:r>
        <w:tab/>
        <w:t>PC3 NS_18</w:t>
      </w:r>
    </w:p>
    <w:bookmarkStart w:id="18" w:name="_MON_1784383200"/>
    <w:bookmarkEnd w:id="18"/>
    <w:p w14:paraId="228F9F0A" w14:textId="77777777" w:rsidR="002015BE" w:rsidRDefault="002015BE" w:rsidP="002015BE">
      <w:r>
        <w:object w:dxaOrig="1539" w:dyaOrig="997" w14:anchorId="722C0432">
          <v:shape id="_x0000_i1039" type="#_x0000_t75" style="width:77.25pt;height:49.5pt" o:ole="">
            <v:imagedata r:id="rId44" o:title=""/>
          </v:shape>
          <o:OLEObject Type="Embed" ProgID="Word.Document.12" ShapeID="_x0000_i1039" DrawAspect="Icon" ObjectID="_1789832450" r:id="rId45">
            <o:FieldCodes>\s</o:FieldCodes>
          </o:OLEObject>
        </w:object>
      </w:r>
    </w:p>
    <w:p w14:paraId="26ABEDF1" w14:textId="77777777" w:rsidR="002015BE" w:rsidRPr="002015BE" w:rsidRDefault="002015BE" w:rsidP="002015BE"/>
    <w:sectPr w:rsidR="002015BE" w:rsidRPr="002015BE" w:rsidSect="00426A90">
      <w:headerReference w:type="even" r:id="rId46"/>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DA1B56" w14:textId="77777777" w:rsidR="00935D94" w:rsidRDefault="00935D94" w:rsidP="002B3503">
      <w:pPr>
        <w:spacing w:after="0"/>
      </w:pPr>
      <w:r>
        <w:separator/>
      </w:r>
    </w:p>
  </w:endnote>
  <w:endnote w:type="continuationSeparator" w:id="0">
    <w:p w14:paraId="0EF5A1B8" w14:textId="77777777" w:rsidR="00935D94" w:rsidRDefault="00935D94"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E4EDEE" w14:textId="77777777" w:rsidR="00935D94" w:rsidRDefault="00935D94" w:rsidP="002B3503">
      <w:pPr>
        <w:spacing w:after="0"/>
      </w:pPr>
      <w:r>
        <w:separator/>
      </w:r>
    </w:p>
  </w:footnote>
  <w:footnote w:type="continuationSeparator" w:id="0">
    <w:p w14:paraId="3F8BF5B7" w14:textId="77777777" w:rsidR="00935D94" w:rsidRDefault="00935D94"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65F0D"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2"/>
  </w:num>
  <w:num w:numId="2" w16cid:durableId="1759204612">
    <w:abstractNumId w:val="8"/>
  </w:num>
  <w:num w:numId="3" w16cid:durableId="2048292614">
    <w:abstractNumId w:val="5"/>
  </w:num>
  <w:num w:numId="4" w16cid:durableId="538207365">
    <w:abstractNumId w:val="6"/>
  </w:num>
  <w:num w:numId="5" w16cid:durableId="1701078993">
    <w:abstractNumId w:val="0"/>
  </w:num>
  <w:num w:numId="6" w16cid:durableId="297302226">
    <w:abstractNumId w:val="1"/>
  </w:num>
  <w:num w:numId="7" w16cid:durableId="409081964">
    <w:abstractNumId w:val="4"/>
  </w:num>
  <w:num w:numId="8" w16cid:durableId="1922520578">
    <w:abstractNumId w:val="7"/>
  </w:num>
  <w:num w:numId="9" w16cid:durableId="3115000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FE4"/>
    <w:rsid w:val="000008B4"/>
    <w:rsid w:val="00005B0F"/>
    <w:rsid w:val="00005FE2"/>
    <w:rsid w:val="0000645E"/>
    <w:rsid w:val="0001525B"/>
    <w:rsid w:val="00020F23"/>
    <w:rsid w:val="0003263E"/>
    <w:rsid w:val="00035527"/>
    <w:rsid w:val="000370A5"/>
    <w:rsid w:val="00037DDF"/>
    <w:rsid w:val="00055B53"/>
    <w:rsid w:val="00067294"/>
    <w:rsid w:val="00072131"/>
    <w:rsid w:val="00077C51"/>
    <w:rsid w:val="00084771"/>
    <w:rsid w:val="0008585F"/>
    <w:rsid w:val="00091D46"/>
    <w:rsid w:val="00091F0B"/>
    <w:rsid w:val="000A3DFD"/>
    <w:rsid w:val="000A6473"/>
    <w:rsid w:val="000A6A9A"/>
    <w:rsid w:val="000B0C5F"/>
    <w:rsid w:val="000B3B17"/>
    <w:rsid w:val="000B4E56"/>
    <w:rsid w:val="000B5E8E"/>
    <w:rsid w:val="000E4D14"/>
    <w:rsid w:val="000F2546"/>
    <w:rsid w:val="000F50EC"/>
    <w:rsid w:val="00101626"/>
    <w:rsid w:val="001025B4"/>
    <w:rsid w:val="00103568"/>
    <w:rsid w:val="00113DD7"/>
    <w:rsid w:val="00120893"/>
    <w:rsid w:val="001221D2"/>
    <w:rsid w:val="001364A1"/>
    <w:rsid w:val="00136E08"/>
    <w:rsid w:val="001377F8"/>
    <w:rsid w:val="00143AFD"/>
    <w:rsid w:val="001458FC"/>
    <w:rsid w:val="0015000E"/>
    <w:rsid w:val="0015578A"/>
    <w:rsid w:val="001568C3"/>
    <w:rsid w:val="0016131F"/>
    <w:rsid w:val="001751F1"/>
    <w:rsid w:val="00177939"/>
    <w:rsid w:val="00187AC5"/>
    <w:rsid w:val="001953B8"/>
    <w:rsid w:val="00195FB1"/>
    <w:rsid w:val="001A51E5"/>
    <w:rsid w:val="001A777D"/>
    <w:rsid w:val="001B4F68"/>
    <w:rsid w:val="001B6495"/>
    <w:rsid w:val="001C473D"/>
    <w:rsid w:val="001D24D1"/>
    <w:rsid w:val="001D44A7"/>
    <w:rsid w:val="001D64A5"/>
    <w:rsid w:val="001E4F63"/>
    <w:rsid w:val="001E7323"/>
    <w:rsid w:val="001F0733"/>
    <w:rsid w:val="001F6E5B"/>
    <w:rsid w:val="002015BE"/>
    <w:rsid w:val="002127E2"/>
    <w:rsid w:val="00214C87"/>
    <w:rsid w:val="00214CF4"/>
    <w:rsid w:val="00215035"/>
    <w:rsid w:val="00230F65"/>
    <w:rsid w:val="0024072D"/>
    <w:rsid w:val="00241E14"/>
    <w:rsid w:val="00244557"/>
    <w:rsid w:val="00260340"/>
    <w:rsid w:val="00273303"/>
    <w:rsid w:val="00273480"/>
    <w:rsid w:val="00275429"/>
    <w:rsid w:val="00283AE6"/>
    <w:rsid w:val="00291DDD"/>
    <w:rsid w:val="00292336"/>
    <w:rsid w:val="002A7181"/>
    <w:rsid w:val="002B3503"/>
    <w:rsid w:val="002B520A"/>
    <w:rsid w:val="002B758B"/>
    <w:rsid w:val="002C2C9A"/>
    <w:rsid w:val="002D2822"/>
    <w:rsid w:val="002D4117"/>
    <w:rsid w:val="002F6A38"/>
    <w:rsid w:val="00304DA8"/>
    <w:rsid w:val="00307836"/>
    <w:rsid w:val="00324C5A"/>
    <w:rsid w:val="00347DEA"/>
    <w:rsid w:val="00351825"/>
    <w:rsid w:val="00351921"/>
    <w:rsid w:val="003601FC"/>
    <w:rsid w:val="00371041"/>
    <w:rsid w:val="003732AC"/>
    <w:rsid w:val="0037344A"/>
    <w:rsid w:val="003777FE"/>
    <w:rsid w:val="003928F2"/>
    <w:rsid w:val="00395856"/>
    <w:rsid w:val="0039666D"/>
    <w:rsid w:val="003A11E6"/>
    <w:rsid w:val="003A7775"/>
    <w:rsid w:val="003C42AC"/>
    <w:rsid w:val="003C6403"/>
    <w:rsid w:val="003C7876"/>
    <w:rsid w:val="003D178A"/>
    <w:rsid w:val="003D4D1C"/>
    <w:rsid w:val="003D6DD3"/>
    <w:rsid w:val="003E31DF"/>
    <w:rsid w:val="003F7C08"/>
    <w:rsid w:val="00400F07"/>
    <w:rsid w:val="00401262"/>
    <w:rsid w:val="00402DF6"/>
    <w:rsid w:val="00405EF2"/>
    <w:rsid w:val="00410126"/>
    <w:rsid w:val="004148DE"/>
    <w:rsid w:val="0042034B"/>
    <w:rsid w:val="0042109F"/>
    <w:rsid w:val="00422EF6"/>
    <w:rsid w:val="00426A90"/>
    <w:rsid w:val="0043450E"/>
    <w:rsid w:val="004369F3"/>
    <w:rsid w:val="004524FA"/>
    <w:rsid w:val="0045393A"/>
    <w:rsid w:val="00453BA5"/>
    <w:rsid w:val="00454E53"/>
    <w:rsid w:val="0046387C"/>
    <w:rsid w:val="00467DAB"/>
    <w:rsid w:val="004765C8"/>
    <w:rsid w:val="00480389"/>
    <w:rsid w:val="00481C18"/>
    <w:rsid w:val="0048208E"/>
    <w:rsid w:val="00482477"/>
    <w:rsid w:val="00482DDD"/>
    <w:rsid w:val="004871C7"/>
    <w:rsid w:val="00491386"/>
    <w:rsid w:val="00494F18"/>
    <w:rsid w:val="004961A6"/>
    <w:rsid w:val="00496650"/>
    <w:rsid w:val="004A0078"/>
    <w:rsid w:val="004A41DA"/>
    <w:rsid w:val="004B3064"/>
    <w:rsid w:val="004B3736"/>
    <w:rsid w:val="004B7E43"/>
    <w:rsid w:val="004C0103"/>
    <w:rsid w:val="004C58F9"/>
    <w:rsid w:val="004D0C67"/>
    <w:rsid w:val="004D3D81"/>
    <w:rsid w:val="004F43E1"/>
    <w:rsid w:val="00502B4F"/>
    <w:rsid w:val="005052DF"/>
    <w:rsid w:val="00505C96"/>
    <w:rsid w:val="005101D1"/>
    <w:rsid w:val="0052117E"/>
    <w:rsid w:val="00522C8C"/>
    <w:rsid w:val="005309B7"/>
    <w:rsid w:val="00530E0A"/>
    <w:rsid w:val="00555F37"/>
    <w:rsid w:val="00560A63"/>
    <w:rsid w:val="00564B2E"/>
    <w:rsid w:val="00564C91"/>
    <w:rsid w:val="00570B14"/>
    <w:rsid w:val="005764BE"/>
    <w:rsid w:val="00587E23"/>
    <w:rsid w:val="005A35C6"/>
    <w:rsid w:val="005A6A8D"/>
    <w:rsid w:val="005A7283"/>
    <w:rsid w:val="005B2640"/>
    <w:rsid w:val="005C6F6F"/>
    <w:rsid w:val="005E1486"/>
    <w:rsid w:val="005F4052"/>
    <w:rsid w:val="005F6CE3"/>
    <w:rsid w:val="00602EB6"/>
    <w:rsid w:val="006104AF"/>
    <w:rsid w:val="00610EF2"/>
    <w:rsid w:val="00612119"/>
    <w:rsid w:val="00631465"/>
    <w:rsid w:val="00641C2E"/>
    <w:rsid w:val="00641D69"/>
    <w:rsid w:val="00641E1F"/>
    <w:rsid w:val="00650590"/>
    <w:rsid w:val="006579F3"/>
    <w:rsid w:val="00664DF6"/>
    <w:rsid w:val="00675CD6"/>
    <w:rsid w:val="006914CF"/>
    <w:rsid w:val="006919C7"/>
    <w:rsid w:val="00696A2E"/>
    <w:rsid w:val="006B58FE"/>
    <w:rsid w:val="006B627C"/>
    <w:rsid w:val="006C6840"/>
    <w:rsid w:val="006D12DA"/>
    <w:rsid w:val="006D575C"/>
    <w:rsid w:val="006D5FE5"/>
    <w:rsid w:val="006D77C8"/>
    <w:rsid w:val="006E1AD8"/>
    <w:rsid w:val="006E1B0C"/>
    <w:rsid w:val="006E5469"/>
    <w:rsid w:val="006F1606"/>
    <w:rsid w:val="006F5021"/>
    <w:rsid w:val="00700831"/>
    <w:rsid w:val="00703672"/>
    <w:rsid w:val="00721516"/>
    <w:rsid w:val="00721CDB"/>
    <w:rsid w:val="00726265"/>
    <w:rsid w:val="00730A12"/>
    <w:rsid w:val="0073496C"/>
    <w:rsid w:val="00734EBD"/>
    <w:rsid w:val="00754208"/>
    <w:rsid w:val="0076798B"/>
    <w:rsid w:val="00775BF6"/>
    <w:rsid w:val="00776C7A"/>
    <w:rsid w:val="00786871"/>
    <w:rsid w:val="007900B7"/>
    <w:rsid w:val="0079231B"/>
    <w:rsid w:val="00794808"/>
    <w:rsid w:val="00795F92"/>
    <w:rsid w:val="007D20DF"/>
    <w:rsid w:val="007F7086"/>
    <w:rsid w:val="00806E81"/>
    <w:rsid w:val="00812F4C"/>
    <w:rsid w:val="00817078"/>
    <w:rsid w:val="00820359"/>
    <w:rsid w:val="00820BC5"/>
    <w:rsid w:val="00822FAB"/>
    <w:rsid w:val="008236E4"/>
    <w:rsid w:val="00844615"/>
    <w:rsid w:val="00850296"/>
    <w:rsid w:val="0085079B"/>
    <w:rsid w:val="0085459F"/>
    <w:rsid w:val="00856B39"/>
    <w:rsid w:val="00860EC2"/>
    <w:rsid w:val="00885B02"/>
    <w:rsid w:val="008A4493"/>
    <w:rsid w:val="008A7B13"/>
    <w:rsid w:val="008E33ED"/>
    <w:rsid w:val="008F6EEA"/>
    <w:rsid w:val="00905D49"/>
    <w:rsid w:val="009064A4"/>
    <w:rsid w:val="009126EB"/>
    <w:rsid w:val="0091383D"/>
    <w:rsid w:val="00914272"/>
    <w:rsid w:val="0091652E"/>
    <w:rsid w:val="009277B8"/>
    <w:rsid w:val="00935D94"/>
    <w:rsid w:val="00940559"/>
    <w:rsid w:val="009408AA"/>
    <w:rsid w:val="0094195E"/>
    <w:rsid w:val="00951833"/>
    <w:rsid w:val="009627F3"/>
    <w:rsid w:val="00963A11"/>
    <w:rsid w:val="0096646D"/>
    <w:rsid w:val="009943D4"/>
    <w:rsid w:val="00994B01"/>
    <w:rsid w:val="00996062"/>
    <w:rsid w:val="009A4887"/>
    <w:rsid w:val="009A533F"/>
    <w:rsid w:val="009A5845"/>
    <w:rsid w:val="009B1E68"/>
    <w:rsid w:val="009B78E7"/>
    <w:rsid w:val="009C0E9B"/>
    <w:rsid w:val="009D1984"/>
    <w:rsid w:val="009E5A24"/>
    <w:rsid w:val="009F00ED"/>
    <w:rsid w:val="009F6390"/>
    <w:rsid w:val="00A033D4"/>
    <w:rsid w:val="00A039A3"/>
    <w:rsid w:val="00A05EA5"/>
    <w:rsid w:val="00A112DA"/>
    <w:rsid w:val="00A156C1"/>
    <w:rsid w:val="00A17D14"/>
    <w:rsid w:val="00A21B25"/>
    <w:rsid w:val="00A226F6"/>
    <w:rsid w:val="00A30DC4"/>
    <w:rsid w:val="00A31791"/>
    <w:rsid w:val="00A451E8"/>
    <w:rsid w:val="00A46001"/>
    <w:rsid w:val="00A6018C"/>
    <w:rsid w:val="00A673E6"/>
    <w:rsid w:val="00A67A94"/>
    <w:rsid w:val="00A71D69"/>
    <w:rsid w:val="00A767DC"/>
    <w:rsid w:val="00A76BB0"/>
    <w:rsid w:val="00A76FD1"/>
    <w:rsid w:val="00A8051D"/>
    <w:rsid w:val="00A84908"/>
    <w:rsid w:val="00A91B82"/>
    <w:rsid w:val="00A93393"/>
    <w:rsid w:val="00AB0360"/>
    <w:rsid w:val="00AC344B"/>
    <w:rsid w:val="00AC3475"/>
    <w:rsid w:val="00AC50AB"/>
    <w:rsid w:val="00AC56D8"/>
    <w:rsid w:val="00AC64D8"/>
    <w:rsid w:val="00AD1832"/>
    <w:rsid w:val="00AD4B25"/>
    <w:rsid w:val="00AE09F6"/>
    <w:rsid w:val="00AE3721"/>
    <w:rsid w:val="00AE62DA"/>
    <w:rsid w:val="00AE6327"/>
    <w:rsid w:val="00AE6E91"/>
    <w:rsid w:val="00AF0724"/>
    <w:rsid w:val="00AF7CB0"/>
    <w:rsid w:val="00B0192C"/>
    <w:rsid w:val="00B13599"/>
    <w:rsid w:val="00B20926"/>
    <w:rsid w:val="00B43457"/>
    <w:rsid w:val="00B4385F"/>
    <w:rsid w:val="00B442B7"/>
    <w:rsid w:val="00B63135"/>
    <w:rsid w:val="00B65B59"/>
    <w:rsid w:val="00B66628"/>
    <w:rsid w:val="00B813D6"/>
    <w:rsid w:val="00BA0FC3"/>
    <w:rsid w:val="00BA6533"/>
    <w:rsid w:val="00BB1927"/>
    <w:rsid w:val="00BC764C"/>
    <w:rsid w:val="00BD704E"/>
    <w:rsid w:val="00BE1016"/>
    <w:rsid w:val="00BE1808"/>
    <w:rsid w:val="00BE6DF3"/>
    <w:rsid w:val="00BF4228"/>
    <w:rsid w:val="00BF4B17"/>
    <w:rsid w:val="00C00207"/>
    <w:rsid w:val="00C05479"/>
    <w:rsid w:val="00C165DA"/>
    <w:rsid w:val="00C20F54"/>
    <w:rsid w:val="00C21554"/>
    <w:rsid w:val="00C33B37"/>
    <w:rsid w:val="00C4065C"/>
    <w:rsid w:val="00C53708"/>
    <w:rsid w:val="00C56BF8"/>
    <w:rsid w:val="00C6032C"/>
    <w:rsid w:val="00C6739D"/>
    <w:rsid w:val="00C70B93"/>
    <w:rsid w:val="00C81014"/>
    <w:rsid w:val="00C81190"/>
    <w:rsid w:val="00C8539D"/>
    <w:rsid w:val="00C86FD9"/>
    <w:rsid w:val="00C92ED2"/>
    <w:rsid w:val="00C93BF8"/>
    <w:rsid w:val="00C9571C"/>
    <w:rsid w:val="00CD25F8"/>
    <w:rsid w:val="00CD48FF"/>
    <w:rsid w:val="00CD6FE4"/>
    <w:rsid w:val="00CE0851"/>
    <w:rsid w:val="00CF40CF"/>
    <w:rsid w:val="00CF4412"/>
    <w:rsid w:val="00D07AD5"/>
    <w:rsid w:val="00D14068"/>
    <w:rsid w:val="00D1541D"/>
    <w:rsid w:val="00D275CC"/>
    <w:rsid w:val="00D40A11"/>
    <w:rsid w:val="00D40D22"/>
    <w:rsid w:val="00D43EE3"/>
    <w:rsid w:val="00D47A46"/>
    <w:rsid w:val="00D53CEF"/>
    <w:rsid w:val="00D5471C"/>
    <w:rsid w:val="00D733F3"/>
    <w:rsid w:val="00D767C4"/>
    <w:rsid w:val="00D77CF5"/>
    <w:rsid w:val="00D84CB9"/>
    <w:rsid w:val="00D85B1D"/>
    <w:rsid w:val="00D87BA7"/>
    <w:rsid w:val="00DA22F1"/>
    <w:rsid w:val="00DA4217"/>
    <w:rsid w:val="00DB302B"/>
    <w:rsid w:val="00DC0D0E"/>
    <w:rsid w:val="00DC40E5"/>
    <w:rsid w:val="00DE343D"/>
    <w:rsid w:val="00DE5701"/>
    <w:rsid w:val="00DF2E6B"/>
    <w:rsid w:val="00DF4043"/>
    <w:rsid w:val="00DF4078"/>
    <w:rsid w:val="00DF41C4"/>
    <w:rsid w:val="00E075A8"/>
    <w:rsid w:val="00E0780C"/>
    <w:rsid w:val="00E10AC4"/>
    <w:rsid w:val="00E112A9"/>
    <w:rsid w:val="00E20CDE"/>
    <w:rsid w:val="00E23619"/>
    <w:rsid w:val="00E33B68"/>
    <w:rsid w:val="00E37BCC"/>
    <w:rsid w:val="00E5539B"/>
    <w:rsid w:val="00E63D44"/>
    <w:rsid w:val="00E74AF7"/>
    <w:rsid w:val="00E943BA"/>
    <w:rsid w:val="00E962C5"/>
    <w:rsid w:val="00E97B46"/>
    <w:rsid w:val="00EA0625"/>
    <w:rsid w:val="00EA1541"/>
    <w:rsid w:val="00EA3488"/>
    <w:rsid w:val="00EA5EAF"/>
    <w:rsid w:val="00EA69E9"/>
    <w:rsid w:val="00EB0713"/>
    <w:rsid w:val="00EB2914"/>
    <w:rsid w:val="00EB2E74"/>
    <w:rsid w:val="00EB5F7D"/>
    <w:rsid w:val="00EC589F"/>
    <w:rsid w:val="00ED010D"/>
    <w:rsid w:val="00ED58AA"/>
    <w:rsid w:val="00ED7395"/>
    <w:rsid w:val="00EE0FE8"/>
    <w:rsid w:val="00EE1412"/>
    <w:rsid w:val="00EF266A"/>
    <w:rsid w:val="00EF7301"/>
    <w:rsid w:val="00F0151C"/>
    <w:rsid w:val="00F04AB4"/>
    <w:rsid w:val="00F12D51"/>
    <w:rsid w:val="00F12F88"/>
    <w:rsid w:val="00F1354A"/>
    <w:rsid w:val="00F2394F"/>
    <w:rsid w:val="00F23BEC"/>
    <w:rsid w:val="00F312B9"/>
    <w:rsid w:val="00F421FB"/>
    <w:rsid w:val="00F50FDC"/>
    <w:rsid w:val="00F52193"/>
    <w:rsid w:val="00F54E9B"/>
    <w:rsid w:val="00F61299"/>
    <w:rsid w:val="00F7033B"/>
    <w:rsid w:val="00F71D9A"/>
    <w:rsid w:val="00F72C0B"/>
    <w:rsid w:val="00F744CF"/>
    <w:rsid w:val="00F86ADD"/>
    <w:rsid w:val="00F86DFE"/>
    <w:rsid w:val="00F937EF"/>
    <w:rsid w:val="00F9486C"/>
    <w:rsid w:val="00F9660E"/>
    <w:rsid w:val="00F97D64"/>
    <w:rsid w:val="00FA42E2"/>
    <w:rsid w:val="00FC1E8B"/>
    <w:rsid w:val="00FC288C"/>
    <w:rsid w:val="00FC707C"/>
    <w:rsid w:val="00FD085A"/>
    <w:rsid w:val="00FD543C"/>
    <w:rsid w:val="00FD7028"/>
    <w:rsid w:val="00FE2703"/>
    <w:rsid w:val="00FE5008"/>
    <w:rsid w:val="00FE5079"/>
    <w:rsid w:val="00FF30CF"/>
    <w:rsid w:val="00FF555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03A9B1"/>
  <w15:chartTrackingRefBased/>
  <w15:docId w15:val="{9CD1BB1B-2C82-4826-9EA8-0A5A69790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DA4217"/>
    <w:rPr>
      <w:rFonts w:ascii="Times New Roman" w:hAnsi="Times New Roman"/>
      <w:lang w:val="en-GB" w:eastAsia="en-US"/>
    </w:rPr>
  </w:style>
  <w:style w:type="table" w:styleId="TableGrid">
    <w:name w:val="Table Grid"/>
    <w:aliases w:val="TableGrid"/>
    <w:basedOn w:val="TableNormal"/>
    <w:qFormat/>
    <w:rsid w:val="00D53CEF"/>
    <w:rPr>
      <w:rFonts w:ascii="Arial" w:eastAsiaTheme="minorHAnsi" w:hAnsi="Arial" w:cstheme="minorBidi"/>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619453601">
      <w:bodyDiv w:val="1"/>
      <w:marLeft w:val="0"/>
      <w:marRight w:val="0"/>
      <w:marTop w:val="0"/>
      <w:marBottom w:val="0"/>
      <w:divBdr>
        <w:top w:val="none" w:sz="0" w:space="0" w:color="auto"/>
        <w:left w:val="none" w:sz="0" w:space="0" w:color="auto"/>
        <w:bottom w:val="none" w:sz="0" w:space="0" w:color="auto"/>
        <w:right w:val="none" w:sz="0" w:space="0" w:color="auto"/>
      </w:divBdr>
      <w:divsChild>
        <w:div w:id="303242099">
          <w:marLeft w:val="0"/>
          <w:marRight w:val="0"/>
          <w:marTop w:val="0"/>
          <w:marBottom w:val="0"/>
          <w:divBdr>
            <w:top w:val="none" w:sz="0" w:space="0" w:color="auto"/>
            <w:left w:val="none" w:sz="0" w:space="0" w:color="auto"/>
            <w:bottom w:val="none" w:sz="0" w:space="0" w:color="auto"/>
            <w:right w:val="none" w:sz="0" w:space="0" w:color="auto"/>
          </w:divBdr>
        </w:div>
      </w:divsChild>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733938622">
      <w:bodyDiv w:val="1"/>
      <w:marLeft w:val="0"/>
      <w:marRight w:val="0"/>
      <w:marTop w:val="0"/>
      <w:marBottom w:val="0"/>
      <w:divBdr>
        <w:top w:val="none" w:sz="0" w:space="0" w:color="auto"/>
        <w:left w:val="none" w:sz="0" w:space="0" w:color="auto"/>
        <w:bottom w:val="none" w:sz="0" w:space="0" w:color="auto"/>
        <w:right w:val="none" w:sz="0" w:space="0" w:color="auto"/>
      </w:divBdr>
    </w:div>
    <w:div w:id="770249332">
      <w:bodyDiv w:val="1"/>
      <w:marLeft w:val="0"/>
      <w:marRight w:val="0"/>
      <w:marTop w:val="0"/>
      <w:marBottom w:val="0"/>
      <w:divBdr>
        <w:top w:val="none" w:sz="0" w:space="0" w:color="auto"/>
        <w:left w:val="none" w:sz="0" w:space="0" w:color="auto"/>
        <w:bottom w:val="none" w:sz="0" w:space="0" w:color="auto"/>
        <w:right w:val="none" w:sz="0" w:space="0" w:color="auto"/>
      </w:divBdr>
    </w:div>
    <w:div w:id="849297122">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06116344">
      <w:bodyDiv w:val="1"/>
      <w:marLeft w:val="0"/>
      <w:marRight w:val="0"/>
      <w:marTop w:val="0"/>
      <w:marBottom w:val="0"/>
      <w:divBdr>
        <w:top w:val="none" w:sz="0" w:space="0" w:color="auto"/>
        <w:left w:val="none" w:sz="0" w:space="0" w:color="auto"/>
        <w:bottom w:val="none" w:sz="0" w:space="0" w:color="auto"/>
        <w:right w:val="none" w:sz="0" w:space="0" w:color="auto"/>
      </w:divBdr>
      <w:divsChild>
        <w:div w:id="1593276817">
          <w:marLeft w:val="0"/>
          <w:marRight w:val="0"/>
          <w:marTop w:val="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791364484">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package" Target="embeddings/Microsoft_Word_Document11.docx"/><Relationship Id="rId21" Type="http://schemas.openxmlformats.org/officeDocument/2006/relationships/package" Target="embeddings/Microsoft_Word_Document2.docx"/><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package" Target="embeddings/Microsoft_Word_Document6.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package" Target="embeddings/Microsoft_Word_Document10.docx"/><Relationship Id="rId40" Type="http://schemas.openxmlformats.org/officeDocument/2006/relationships/image" Target="media/image21.emf"/><Relationship Id="rId45" Type="http://schemas.openxmlformats.org/officeDocument/2006/relationships/package" Target="embeddings/Microsoft_Word_Document14.docx"/><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package" Target="embeddings/Microsoft_Word_Document3.docx"/><Relationship Id="rId28" Type="http://schemas.openxmlformats.org/officeDocument/2006/relationships/image" Target="media/image15.emf"/><Relationship Id="rId36"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package" Target="embeddings/Microsoft_Word_Document1.docx"/><Relationship Id="rId31" Type="http://schemas.openxmlformats.org/officeDocument/2006/relationships/package" Target="embeddings/Microsoft_Word_Document7.docx"/><Relationship Id="rId44"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package" Target="embeddings/Microsoft_Word_Document5.docx"/><Relationship Id="rId30" Type="http://schemas.openxmlformats.org/officeDocument/2006/relationships/image" Target="media/image16.emf"/><Relationship Id="rId35" Type="http://schemas.openxmlformats.org/officeDocument/2006/relationships/package" Target="embeddings/Microsoft_Word_Document9.docx"/><Relationship Id="rId43" Type="http://schemas.openxmlformats.org/officeDocument/2006/relationships/package" Target="embeddings/Microsoft_Word_Document13.docx"/><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Word_Document.docx"/><Relationship Id="rId25" Type="http://schemas.openxmlformats.org/officeDocument/2006/relationships/package" Target="embeddings/Microsoft_Word_Document4.docx"/><Relationship Id="rId33" Type="http://schemas.openxmlformats.org/officeDocument/2006/relationships/package" Target="embeddings/Microsoft_Word_Document8.docx"/><Relationship Id="rId38" Type="http://schemas.openxmlformats.org/officeDocument/2006/relationships/image" Target="media/image20.emf"/><Relationship Id="rId46" Type="http://schemas.openxmlformats.org/officeDocument/2006/relationships/header" Target="header1.xml"/><Relationship Id="rId20" Type="http://schemas.openxmlformats.org/officeDocument/2006/relationships/image" Target="media/image11.emf"/><Relationship Id="rId41" Type="http://schemas.openxmlformats.org/officeDocument/2006/relationships/package" Target="embeddings/Microsoft_Word_Document12.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12\n28%20NS_17%20and%20NS_18%20A-MPR%20simulation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n28 NS_17 and NS_18 A-MPR simulations</Template>
  <TotalTime>586</TotalTime>
  <Pages>5</Pages>
  <Words>957</Words>
  <Characters>5461</Characters>
  <Application>Microsoft Office Word</Application>
  <DocSecurity>0</DocSecurity>
  <Lines>45</Lines>
  <Paragraphs>12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6406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113</cp:revision>
  <cp:lastPrinted>1899-12-31T22:00:00Z</cp:lastPrinted>
  <dcterms:created xsi:type="dcterms:W3CDTF">2024-08-02T08:24:00Z</dcterms:created>
  <dcterms:modified xsi:type="dcterms:W3CDTF">2024-10-07T15:52:00Z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ies>
</file>